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(1) Das Grundbuchblatt wird ferner geschlossen, wenn das Grundstück sich in der Örtlichkeit nicht nachweisen läßt.</w:t>
      </w:r>
    </w:p>
    <w:p>
      <w:r>
        <w:t xml:space="preserve">(2) Vor der Schließung sind alle, denen ein im Grundbuch eingetragenes Recht an dem Grundstück oder an einem solchen Recht zusteht, aufzufordern, binnen einer vom Grundbuchamt zu bestimmenden angemessenen Frist das Grundstück in der Örtlichkeit nachzuweisen, mit dem Hinweis, daß nach fruchtlosem Ablauf der Frist das Blatt geschlossen werde. Die Aufforderung ist den Berechtigten, soweit ihre Person und ihr Aufenthalt dem Grundbuchamt bekannt ist, zuzustellen. Sie kann nach Ermessen des Grundbuchamts außerdem öffentlich bekanntgemacht werden; dies hat zu geschehen, wenn Person oder Aufenthalt eines Berechtigten dem Grundbuchamt nicht bekannt ist. Die Art der Bekanntmachung bestimmt das Grundbuchamt.</w:t>
      </w:r>
    </w:p>
    <w:p>
      <w:r>
        <w:rPr>
          <w:color w:val="555555"/>
          <w:sz w:val="17"/>
        </w:rPr>
        <w:t xml:space="preserve">Zitiervorschlag: § 35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