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GBVfg</w:t>
      </w:r>
    </w:p>
    <w:p>
      <w:r>
        <w:rPr>
          <w:color w:val="555555"/>
          <w:sz w:val="18"/>
        </w:rPr>
        <w:t xml:space="preserve">Grundbuchverfügung</w:t>
      </w:r>
    </w:p>
    <w:p>
      <w:r>
        <w:rPr>
          <w:color w:val="555555"/>
          <w:sz w:val="18"/>
        </w:rPr>
        <w:t xml:space="preserve">Stand: 10.06.2019 (konsolidierte Textfassung, kein amtliches Inkrafttretensdatum)</w:t>
      </w:r>
    </w:p>
    <w:p>
      <w:r>
        <w:t xml:space="preserve">(1) Die für das geschlossene Grundbuchblatt gehaltenen Grundakten werden unter entsprechender Änderung ihrer Bezeichnung für das neue Blatt weitergeführt. Nach dem umgeschriebenen Blatt ist ein neues Handblatt herzustellen. Das alte Handblatt ist bei den Grundakten zu verwahren; es ist deutlich als Handblatt des wegen Umschreibung geschlossenen Blattes zu kennzeichnen.</w:t>
      </w:r>
    </w:p>
    <w:p>
      <w:r>
        <w:t xml:space="preserve">(2) Mit Genehmigung der Landesjustizverwaltung oder der von ihr bestimmten Stelle können auch die für das geschlossene Grundbuchblatt gehaltenen Akten geschlossen werden. Das alte Handblatt und Urkunden, auf die eine Eintragung in dem neuen Grundbuchblatt sich gründet oder Bezug nimmt, können zu den Grundakten des neuen Blattes genommen werden; in diesem Fall ist Absatz 1 Satz 3 Halbsatz 2 entsprechend anzuwenden. Die Übernahme ist in den geschlossenen Grundakten zu vermerken.</w:t>
      </w:r>
    </w:p>
    <w:p>
      <w:r>
        <w:rPr>
          <w:color w:val="555555"/>
          <w:sz w:val="17"/>
        </w:rPr>
        <w:t xml:space="preserve">Zitiervorschlag: § 32 GBVfg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https://recht.nulegal.eu/gesetze/GBVfg/32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