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GBVfg</w:t>
      </w:r>
    </w:p>
    <w:p>
      <w:r>
        <w:rPr>
          <w:color w:val="555555"/>
          <w:sz w:val="18"/>
        </w:rPr>
        <w:t xml:space="preserve">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Sämtliche Grundbuchblätter desselben Grundbuchbezirks erhalten fortlaufende Nummern. Besteht das Grundbuch aus mehreren Bänden, so schließen sich die Blattnummern jedes weiteren Bandes an die des vorhergehenden an.</w:t>
      </w:r>
    </w:p>
    <w:p>
      <w:r>
        <w:t xml:space="preserve">(2) Von der fortlaufenden Nummernfolge der Grundbuchblätter kann abgewichen werden, wenn das anzulegende Grundbuchblatt einem Band zugeteilt werden soll, in dem der Umfang der Grundbuchblätter von dem des sonst nach Absatz 1 zu verwendenden Grundbuchblatts verschieden ist.</w:t>
      </w:r>
    </w:p>
    <w:p>
      <w:r>
        <w:t xml:space="preserve">(3) Wird das Grundbuch in Einzelheften mit herausnehmbaren Einlegebogen geführt, so kann nach Anordnung der Landesjustizverwaltung bei der Numerierung der in Einzelheften anzulegenden Grundbuchblätter eines Grundbuchbezirks neu mit der Nummer 1 oder mit der auf den nächsten freien Tausender folgenden Nummer begonnen werden.</w:t>
      </w:r>
    </w:p>
    <w:p>
      <w:r>
        <w:rPr>
          <w:color w:val="555555"/>
          <w:sz w:val="17"/>
        </w:rPr>
        <w:t xml:space="preserve">Zitiervorschlag: § 3 GBVfg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https://recht.nulegal.eu/gesetze/GBVfg/3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