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GBVfg</w:t>
      </w:r>
    </w:p>
    <w:p>
      <w:r>
        <w:rPr>
          <w:color w:val="555555"/>
          <w:sz w:val="18"/>
        </w:rPr>
        <w:t xml:space="preserve">Grundbuchverfügung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Grundbücher werden in festen Bänden oder nach näherer Anordnung der Landesjustizverwaltungen in Bänden oder Einzelheften mit herausnehmbaren Einlegebogen geführt. Die Bände sollen regelmäßig mehrere Grundbuchblätter umfassen; mehrere Bände desselben Grundbuchbezirks erhalten fortlaufende Nummern. Soweit die Grundbücher in Einzelheften mit herausnehmbaren Einlegebogen geführt werden, sind die Vorschriften, die Grundbuchbände voraussetzen, nicht anzuwenden.</w:t>
      </w:r>
    </w:p>
    <w:p>
      <w:r>
        <w:rPr>
          <w:color w:val="555555"/>
          <w:sz w:val="17"/>
        </w:rPr>
        <w:t xml:space="preserve">Zitiervorschlag: § 2 GBVfg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https://recht.nulegal.eu/gesetze/GBVfg/2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