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17a GBVfg</w:t>
      </w:r>
    </w:p>
    <w:p>
      <w:r>
        <w:rPr>
          <w:color w:val="555555"/>
          <w:sz w:val="18"/>
        </w:rPr>
        <w:t xml:space="preserve">Grundbuchverfügung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17 Abs. 2 Satz 3 ist auch bei Löschungen in dem Bestandsverzeichnis oder in der ersten Abteilung sinngemäß anzuwenden.</w:t>
      </w:r>
    </w:p>
    <w:p>
      <w:r>
        <w:rPr>
          <w:color w:val="555555"/>
          <w:sz w:val="17"/>
        </w:rPr>
        <w:t xml:space="preserve">Zitiervorschlag: § 17a GBVfg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https://recht.nulegal.eu/gesetze/GBVfg/17a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