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113 GBVfg</w:t>
      </w:r>
    </w:p>
    <w:p>
      <w:r>
        <w:rPr>
          <w:color w:val="555555"/>
          <w:sz w:val="18"/>
        </w:rPr>
        <w:t xml:space="preserve">Grundbuchverfügung</w:t>
      </w:r>
    </w:p>
    <w:p>
      <w:r>
        <w:rPr>
          <w:color w:val="555555"/>
          <w:sz w:val="18"/>
        </w:rPr>
        <w:t xml:space="preserve">Stand: 01.05.2025 (konsolidierte Textfassung, kein amtliches Inkrafttretensdatum)</w:t>
      </w:r>
    </w:p>
    <w:p>
      <w:r>
        <w:t xml:space="preserve">(1) In dem in Artikel 3 des Einigungsvertrages genannten Gebiet gilt diese Verordnung mit folgenden Maßgaben:</w:t>
      </w:r>
    </w:p>
    <w:p>
      <w:pPr>
        <w:ind w:left="420"/>
      </w:pPr>
      <w:r>
        <w:t xml:space="preserve">1. Die §§ 43 bis 53 sind stets anzuwenden.</w:t>
      </w:r>
    </w:p>
    <w:p>
      <w:pPr>
        <w:ind w:left="420"/>
      </w:pPr>
      <w:r>
        <w:t xml:space="preserve">2. Die Einrichtung der Grundbücher richtet sich bis auf weiteres nach den am Tag vor dem Wirksamwerden des Beitritts bestehenden oder von dem jeweiligen Lande erlassenen späteren Bestimmungen. Im übrigen ist für die Führung der Grundbücher diese Verordnung entsprechend anzuwenden, soweit sich nicht aus einer abweichenden Einrichtung des Grundbuchs etwas anderes ergibt oder aus besonderen Gründen Abweichungen erforderlich sind; solche Abweichungen sind insbesondere dann als erforderlich anzusehen, wenn sonst die Rechtsverhältnisse nicht zutreffend dargestellt werden können oder Verwirrung zu besorgen ist.</w:t>
      </w:r>
    </w:p>
    <w:p>
      <w:pPr>
        <w:ind w:left="420"/>
      </w:pPr>
      <w:r>
        <w:t xml:space="preserve">3. Soweit nach Nummer 2 Bestimmungen diese Verordnung nicht herangezogen werden können, sind stattdessen die am Tag vor dem Wirksamwerden des Beitritts geltenden oder von dem jeweiligen Lande erlassenen späteren Bestimmungen anzuwenden. Jedoch sind Regelungen, die mit dem in Kraft tretenden Bundesrecht nicht vereinbar sind, nicht mehr anzuwenden. Dies gilt insbesondere auch für derartige Regelungen über die Voraussetzungen und den Inhalt von Eintragungen. Am Tag vor dem Wirksamwerden des Beitritts nicht vorgesehene Rechte oder Vermerke sind in entsprechender Anwendung dieser Verordnung einzutragen.</w:t>
      </w:r>
    </w:p>
    <w:p>
      <w:pPr>
        <w:ind w:left="420"/>
      </w:pPr>
      <w:r>
        <w:t xml:space="preserve">4. Im Falle der Nummer 3 sind auf die Einrichtung und Führung der Erbbaugrundbücher sowie auf die Bildung von Hypotheken-, Grundschuld- und Rentenschuldbriefen bei Erbbaurechten die §§ 56, 57 und 59 mit der Maßgabe entsprechend anzuwenden, daß die in § 56 vorgesehenen Angaben in die entsprechenden Spalten für den Bestand einzutragen sind. Ist eine Aufschrift mit Blattnummer nicht vorhanden, ist die in § 55 Abs. 2 vorgesehene Bezeichnung "Erbbaugrundbuch" an vergleichbarer Stelle im Kopf der ersten Seite des Grundbuchblatts anzubringen. Soweit in den oben bezeichneten Vorschriften auf andere Vorschriften dieser Verordnung verwiesen wird, deren Bestimmungen nicht anzuwenden sind, treten an die Stelle der in Bezug genommenen Vorschriften dieser Verordnung die entsprechend anzuwendenden Regelungen über die Einrichtung und Führung der Grundbücher.</w:t>
      </w:r>
    </w:p>
    <w:p>
      <w:pPr>
        <w:ind w:left="420"/>
      </w:pPr>
      <w:r>
        <w:t xml:space="preserve">5. Für die Anlegung von Grundbuchblättern für ehemals volkseigene Grundstücke ist ein Verfahren nach dem Sechsten Abschnitt der Grundbuchordnung nicht erforderlich, soweit für solche Grundstücke Bestandsblätter im Sinne der Nummer 160 Abs. 1 der Anweisung Nr. 4/87 des Ministers des Innern und Chefs der Deutschen Volkspolizei über Grundbuch und Grundbuchverfahren unter Colidobedingungen - Colido-Grundbuchanweisung - vom 27. Oktober 1987 vorhanden sind oder das Grundstück bereits gebucht war und sich nach der Schließung des Grundbuchs seine Bezeichnung nicht verändert hat.</w:t>
      </w:r>
    </w:p>
    <w:p>
      <w:pPr>
        <w:ind w:left="420"/>
      </w:pPr>
      <w:r>
        <w:t xml:space="preserve">6. Gegenüber dem Grundbuchamt genügt es zum Nachweis der Befugnis, über beschränkte dingliche Rechte an einem Grundstück, Gebäude oder sonstigen grundstücksgleichen Rechten oder über Vormerkungen zu verfügen, deren Eintragung vor dem 1. Juli 1990 beantragt worden ist und als deren Gläubiger oder sonstiger Berechtigter im Grundbuch</w:t>
      </w:r>
    </w:p>
    <w:p>
      <w:pPr>
        <w:ind w:left="780"/>
      </w:pPr>
      <w:r>
        <w:t xml:space="preserve">a) eine Sparkasse oder Volkseigentum in Rechtsträgerschaft einer Sparkasse,</w:t>
      </w:r>
    </w:p>
    <w:p>
      <w:pPr>
        <w:ind w:left="780"/>
      </w:pPr>
      <w:r>
        <w:t xml:space="preserve">b) ein anderes Kreditinstitut, Volkseigentum in Rechtsträgerschaft eines Kreditinstituts, eine Versicherung oder eine bergrechtliche Gewerkschaft,</w:t>
      </w:r>
    </w:p>
    <w:p>
      <w:pPr>
        <w:ind w:left="780"/>
      </w:pPr>
      <w:r>
        <w:t xml:space="preserve">c) Volkseigentum in Rechtsträgerschaft des Staatshaushalts oder eines zentralen Organs der Deutschen Demokratischen Republik, des Magistrats von Berlin, des Rates eines Bezirks, Kreises oder Stadtbezirks, des Rates einer Stadt oder sonstiger Verwaltungsstellen oder staatlicher Einrichtungen,</w:t>
      </w:r>
    </w:p>
    <w:p>
      <w:pPr>
        <w:ind w:left="780"/>
      </w:pPr>
      <w:r>
        <w:t xml:space="preserve">d) eine juristische Person des öffentlichen Rechts oder ein Sondervermögen einer solchen Person, mit Ausnahme jedoch des Reichseisenbahnvermögens und des Sondervermögens Deutsche Post,</w:t>
      </w:r>
    </w:p>
    <w:p>
      <w:pPr>
        <w:ind w:left="420"/>
      </w:pPr>
      <w:r>
        <w:t xml:space="preserve">eingetragen ist, wenn die grundbuchmäßigen Erklärungen von der Bewilligungsstelle abgegeben werden; § 27 der Grundbuchordnung bleibt unberührt. Bewilligungsstelle ist in den Fällen des Satzes 1 Buchstabe a die Sparkasse, in deren Geschäftsgebiet das Grundstück, Gebäude oder sonstige grundstücksgleiche Recht liegt, und in Berlin die Landesbank, in den übrigen Fällen des Satzes 1 jede Dienststelle des Bundes oder einer bundesunmittelbaren Körperschaft oder Anstalt des öffentlichen Rechts. Für die Löschung</w:t>
      </w:r>
    </w:p>
    <w:p>
      <w:pPr>
        <w:ind w:left="780"/>
      </w:pPr>
      <w:r>
        <w:t xml:space="preserve">a) von Vermerken über die Entschuldung der Klein- und Mittelbauern beim Eintritt in Landwirtschaftliche Produktionsgenossenschaften auf Grund des Gesetzes vom 17. Februar 1954 (GBl. Nr. 23 S. 224),</w:t>
      </w:r>
    </w:p>
    <w:p>
      <w:pPr>
        <w:ind w:left="780"/>
      </w:pPr>
      <w:r>
        <w:t xml:space="preserve">b) von Verfügungsbeschränkungen zugunsten juristischer Personen des öffentlichen Rechts, ihrer Behörden oder von Rechtsträgern sowie</w:t>
      </w:r>
    </w:p>
    <w:p>
      <w:pPr>
        <w:ind w:left="780"/>
      </w:pPr>
      <w:r>
        <w:t xml:space="preserve">c) von Schürf- und Abbauberechtigungen</w:t>
      </w:r>
    </w:p>
    <w:p>
      <w:pPr>
        <w:ind w:left="420"/>
      </w:pPr>
      <w:r>
        <w:t xml:space="preserve">gilt Satz 1 entsprechend; Bewilligungsstelle ist in den Fällen des Buchstabens a die Staatsbank Berlin, im Übrigen jede Dienststelle des Bundes. Die Bewilligungsstellen können durch dem Grundbuchamt nachzuweisende Erklärung sich wechselseitig oder andere öffentliche Stellen zur Abgabe von Erklärungen nach Satz 1 ermächtigen. In den vorgenannten Fällen findet § 39 der Grundbuchordnung keine Anwendung. Der Vorlage eines Hypotheken-, Grundschuld- oder Rentenschuldbriefes bedarf es nicht; dies gilt auch bei Eintragung eines Zustimmungsvorbehalts nach § 11c des Vermögensgesetzes. In den Fällen des Satzes 1 Buchstabe c und d soll der Bund oder die von ihm ermächtigte Stelle die Bewilligung im Benehmen mit der obersten Finanzbehörde des Landes erteilen, in dem das Grundstück, Gebäude oder sonstige grundstücksgleiche Recht belegen ist; dies ist vom Grundbuchamt nicht zu prüfen.</w:t>
      </w:r>
    </w:p>
    <w:p>
      <w:r>
        <w:t xml:space="preserve">(2) Als Grundbuch im Sinne der Grundbuchordnung gilt ein Grundbuchblatt, das unter den in Absatz 1 Nr. 5 genannten Voraussetzungen vor Inkrafttreten dieser Verordnung ohne ein Verfahren nach dem Sechsten Abschnitt der Grundbuchordnung oder den §§ 7 bis 17 der Verordnung zur Ausführung der Grundbuchordnung in ihrer im Bundesgesetzblatt Teil III, Gliederungsnummer 315-11-2, veröffentlichen bereinigten Fassung vom 8. August 1935 (RGBl. I S. 1089), die durch Artikel 4 Abs. 1 Nr. 1 des Gesetzes vom 20. Dezember 1993 (BGBl. I S. 2182) aufgehoben worden ist, angelegt worden ist.</w:t>
      </w:r>
    </w:p>
    <w:p>
      <w:r>
        <w:t xml:space="preserve">(3) Bei Eintragungen, die in den Fällen des Absatzes 1 Nr. 6 vor dessen Inkrafttreten erfolgt oder beantragt worden sind, gilt für das Grundbuchamt der Nachweis der Verfügungsbefugnis als erbracht, wenn die Bewilligung von einer der in Absatz 1 Nr. 6 genannten Bewilligungsstellen oder von der Staatsbank Berlin erklärt worden ist. Auf die in Absatz 1 Nr. 6 Satz 2 und 3 bestimmten Zuständigkeiten kommt es hierfür nicht an. Absatz 1 Nummer 6 tritt mit Ablauf des 31. Dezember 2030 außer Kraft.</w:t>
      </w:r>
    </w:p>
    <w:p>
      <w:r>
        <w:rPr>
          <w:color w:val="555555"/>
          <w:sz w:val="17"/>
        </w:rPr>
        <w:t xml:space="preserve">Zitiervorschlag: § 113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https://recht.nulegal.eu/gesetze/GBVfg/113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113 GBVfg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