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GBSchV (Brandenburg) — Inkrafttreten</w:t>
      </w:r>
    </w:p>
    <w:p>
      <w:r>
        <w:rPr>
          <w:color w:val="555555"/>
          <w:sz w:val="18"/>
        </w:rPr>
        <w:t xml:space="preserve">Gesundheitsberufeschulverordnung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25. Februar 2015</w:t>
      </w:r>
    </w:p>
    <w:p>
      <w:r>
        <w:t xml:space="preserve">Die Ministerin für Arbeit, Soziales,</w:t>
      </w:r>
    </w:p>
    <w:p>
      <w:r>
        <w:t xml:space="preserve">Gesundheit, Frauen und Familie</w:t>
      </w:r>
    </w:p>
    <w:p>
      <w:r>
        <w:t xml:space="preserve">Diana Golze</w:t>
      </w:r>
    </w:p>
    <w:p>
      <w:r>
        <w:rPr>
          <w:color w:val="555555"/>
          <w:sz w:val="17"/>
        </w:rPr>
        <w:t xml:space="preserve">Zitiervorschlag: § 14 GBSchV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https://recht.nulegal.eu/gesetze/GBSchV/14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