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GBSchV (Brandenburg) — Erlöschen der staatlichen Anerkennung</w:t>
      </w:r>
    </w:p>
    <w:p>
      <w:r>
        <w:rPr>
          <w:color w:val="555555"/>
          <w:sz w:val="18"/>
        </w:rPr>
        <w:t xml:space="preserve">Gesundheitsberufeschulverordnung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staatliche Anerkennung erlischt bei Schließung der Schule.</w:t>
      </w:r>
    </w:p>
    <w:p>
      <w:r>
        <w:rPr>
          <w:color w:val="555555"/>
          <w:sz w:val="17"/>
        </w:rPr>
        <w:t xml:space="preserve">Zitiervorschlag: § 11 GBSchV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https://recht.nulegal.eu/gesetze/GBSchV/11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