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GBO</w:t>
      </w:r>
    </w:p>
    <w:p>
      <w:r>
        <w:rPr>
          <w:color w:val="555555"/>
          <w:sz w:val="18"/>
        </w:rPr>
        <w:t xml:space="preserve">Grundbuchordnung</w:t>
      </w:r>
    </w:p>
    <w:p>
      <w:r>
        <w:rPr>
          <w:color w:val="555555"/>
          <w:sz w:val="18"/>
        </w:rPr>
        <w:t xml:space="preserve">Stand: 10.06.2019 (konsolidierte Textfassung, kein amtliches Inkrafttretensdatum)</w:t>
      </w:r>
    </w:p>
    <w:p>
      <w:r>
        <w:t xml:space="preserve">(1) Wohnt ein Beteiligter nicht im Inland und hat er einen hier wohnenden Bevollmächtigten nicht bestellt, so kann das Grundbuchamt anordnen, daß er einen im Inland wohnenden Bevollmächtigten zum Empfang der für ihn bestimmten Sendungen oder für das Verfahren bestellt.</w:t>
      </w:r>
    </w:p>
    <w:p>
      <w:r>
        <w:t xml:space="preserve">(2) Hat das Grundbuchamt dies angeordnet, so können, solange der Beteiligte den Bevollmächtigten nicht bestellt hat, nach der Ladung zum ersten Verhandlungstermin alle weiteren Zustellungen in der Art bewirkt werden, daß das zuzustellende Schriftstück unter der Anschrift des Beteiligten nach seinem Wohnort zur Post gegeben wird; die Postsendungen sind mit der Bezeichnung "Einschreiben" zu versehen. Die Zustellung gilt mit der Aufgabe zur Post als bewirkt, selbst wenn die Sendung als unbestellbar zurückkommt.</w:t>
      </w:r>
    </w:p>
    <w:p>
      <w:r>
        <w:rPr>
          <w:color w:val="555555"/>
          <w:sz w:val="17"/>
        </w:rPr>
        <w:t xml:space="preserve">Zitiervorschlag: § 97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