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96 GBO</w:t>
      </w:r>
    </w:p>
    <w:p>
      <w:r>
        <w:rPr>
          <w:color w:val="555555"/>
          <w:sz w:val="18"/>
        </w:rPr>
        <w:t xml:space="preserve">Grundbuchordnung</w:t>
      </w:r>
    </w:p>
    <w:p>
      <w:r>
        <w:rPr>
          <w:color w:val="555555"/>
          <w:sz w:val="18"/>
        </w:rPr>
        <w:t xml:space="preserve">Stand: 10.06.2019 (konsolidierte Textfassung, kein amtliches Inkrafttretensdatum)</w:t>
      </w:r>
    </w:p>
    <w:p>
      <w:r>
        <w:t xml:space="preserve">Ist die Person oder der Aufenthalt eines Beteiligten oder seines Vertreters unbekannt, so kann das Grundbuchamt dem Beteiligten für das Rangbereinigungsverfahren einen Pfleger bestellen. Für die Pflegschaft tritt an die Stelle des Betreuungsgerichts das Grundbuchamt.</w:t>
      </w:r>
    </w:p>
    <w:p>
      <w:r>
        <w:rPr>
          <w:color w:val="555555"/>
          <w:sz w:val="17"/>
        </w:rPr>
        <w:t xml:space="preserve">Zitiervorschlag: § 96 GBO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https://recht.nulegal.eu/gesetze/GBO/96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96 GBO</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