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95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Wechselt im Laufe des Verfahrens die Person eines Berechtigten, so gilt der neue Berechtigte von dem Zeitpunkt ab, zu dem seine Person dem Grundbuchamt bekannt wird, als Beteiligter.</w:t>
      </w:r>
    </w:p>
    <w:p>
      <w:r>
        <w:t xml:space="preserve">(2) Das gleiche gilt, wenn im Laufe des Verfahrens ein neues Recht am Grundstück oder an einem das Grundstück belastenden Recht begründet wird, das von dem Verfahren berührt wird.</w:t>
      </w:r>
    </w:p>
    <w:p>
      <w:r>
        <w:rPr>
          <w:color w:val="555555"/>
          <w:sz w:val="17"/>
        </w:rPr>
        <w:t xml:space="preserve">Zitiervorschlag: § 95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https://recht.nulegal.eu/gesetze/GBO/95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95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