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92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Verfahren gelten als Beteiligte:</w:t>
      </w:r>
    </w:p>
    <w:p>
      <w:pPr>
        <w:ind w:left="420"/>
      </w:pPr>
      <w:r>
        <w:t xml:space="preserve">a) der zur Zeit der Eintragung des Vermerks (§ 91 Abs. 3) im Grundbuch eingetragene Eigentümer und, wenn das Grundstück mit einer Gesamthypothek, (-grundschuld, -rentenschuld) belastet ist, die im Grundbuch eingetragenen Eigentümer der anderen mit diesem Recht belasteten Grundstücke;</w:t>
      </w:r>
    </w:p>
    <w:p>
      <w:pPr>
        <w:ind w:left="420"/>
      </w:pPr>
      <w:r>
        <w:t xml:space="preserve">b) Personen, für die in dem unter Buchstabe a bestimmten Zeitpunkt ein Recht am Grundstück oder ein Recht an einem das Grundstück belastenden Recht im Grundbuch eingetragen oder durch Eintragung gesichert ist;</w:t>
      </w:r>
    </w:p>
    <w:p>
      <w:pPr>
        <w:ind w:left="420"/>
      </w:pPr>
      <w:r>
        <w:t xml:space="preserve">c) Personen, die ein Recht am Grundstück oder an einem das Grundstück belastenden Recht im Verfahren anmelden und auf Verlangen des Grundbuchamts oder eines Beteiligten glaubhaft machen.</w:t>
      </w:r>
    </w:p>
    <w:p>
      <w:r>
        <w:t xml:space="preserve">(2) Beteiligter ist nicht, wessen Recht von der Rangbereinigung nicht berührt wird.</w:t>
      </w:r>
    </w:p>
    <w:p>
      <w:r>
        <w:rPr>
          <w:color w:val="555555"/>
          <w:sz w:val="17"/>
        </w:rPr>
        <w:t xml:space="preserve">Zitiervorschlag: § 92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https://recht.nulegal.eu/gesetze/GBO/92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92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