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GBO</w:t>
      </w:r>
    </w:p>
    <w:p>
      <w:r>
        <w:rPr>
          <w:color w:val="555555"/>
          <w:sz w:val="18"/>
        </w:rPr>
        <w:t xml:space="preserve">Grundbuchordnung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Rechte, die dem jeweiligen Eigentümer eines Grundstücks zustehen, sind auf Antrag auch auf dem Blatt dieses Grundstücks zu vermerken. Antragsberechtigt ist der Eigentümer des Grundstücks sowie jeder, dessen Zustimmung nach § 876 Satz 2 des Bürgerlichen Gesetzbuchs zur Aufhebung des Rechtes erforderlich ist.</w:t>
      </w:r>
    </w:p>
    <w:p>
      <w:r>
        <w:t xml:space="preserve">(2) Der Vermerk ist von Amts wegen zu berichtigen, wenn das Recht geändert oder aufgehoben wird.</w:t>
      </w:r>
    </w:p>
    <w:p>
      <w:r>
        <w:t xml:space="preserve">(3) Die Eintragung des Vermerks (Absatz 1) ist auf dem Blatt des belasteten Grundstücks von Amts wegen ersichtlich zu machen.</w:t>
      </w:r>
    </w:p>
    <w:p>
      <w:r>
        <w:rPr>
          <w:color w:val="555555"/>
          <w:sz w:val="17"/>
        </w:rPr>
        <w:t xml:space="preserve">Zitiervorschlag: § 9 GBO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https://recht.nulegal.eu/gesetze/GBO/9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