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87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 ist zu löschen:</w:t>
      </w:r>
    </w:p>
    <w:p>
      <w:pPr>
        <w:ind w:left="420"/>
      </w:pPr>
      <w:r>
        <w:t xml:space="preserve">a) wenn sich aus Tatsachen oder Rechtsverhältnissen, die in einer den Anforderungen dieses Gesetzes entsprechenden Weise festgestellt sind, ergibt, daß die Eintragung gegenstandslos ist;</w:t>
      </w:r>
    </w:p>
    <w:p>
      <w:pPr>
        <w:ind w:left="420"/>
      </w:pPr>
      <w:r>
        <w:t xml:space="preserve">b) wenn dem Betroffenen eine Löschungsankündigung zugestellt ist und er nicht binnen einer vom Grundbuchamt zugleich zu bestimmenden Frist Widerspruch erhoben hat;</w:t>
      </w:r>
    </w:p>
    <w:p>
      <w:pPr>
        <w:ind w:left="420"/>
      </w:pPr>
      <w:r>
        <w:t xml:space="preserve">c) wenn durch einen mit Gründen zu versehenden Beschluß rechtskräftig festgestellt ist, daß die Eintragung gegenstandslos ist.</w:t>
      </w:r>
    </w:p>
    <w:p>
      <w:r>
        <w:rPr>
          <w:color w:val="555555"/>
          <w:sz w:val="17"/>
        </w:rPr>
        <w:t xml:space="preserve">Zitiervorschlag: § 87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https://recht.nulegal.eu/gesetze/GBO/87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87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