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76 GBO</w:t>
      </w:r>
    </w:p>
    <w:p>
      <w:r>
        <w:rPr>
          <w:color w:val="555555"/>
          <w:sz w:val="18"/>
        </w:rPr>
        <w:t xml:space="preserve">Grundbuchordnung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Beschwerdegericht kann vor der Entscheidung eine einstweilige Anordnung erlassen, insbesondere dem Grundbuchamt aufgeben, eine Vormerkung oder einen Widerspruch einzutragen, oder anordnen, daß die Vollziehung der angefochtenen Entscheidung auszusetzen ist.</w:t>
      </w:r>
    </w:p>
    <w:p>
      <w:r>
        <w:t xml:space="preserve">(2) Die Vormerkung oder der Widerspruch (Absatz 1) wird von Amts wegen gelöscht, wenn die Beschwerde zurückgenommen oder zurückgewiesen ist.</w:t>
      </w:r>
    </w:p>
    <w:p>
      <w:r>
        <w:t xml:space="preserve">(3) Die Beschwerde hat nur dann aufschiebende Wirkung, wenn sie gegen eine Verfügung gerichtet ist, durch die ein Zwangsgeld festgesetzt wird.</w:t>
      </w:r>
    </w:p>
    <w:p>
      <w:r>
        <w:rPr>
          <w:color w:val="555555"/>
          <w:sz w:val="17"/>
        </w:rPr>
        <w:t xml:space="preserve">Zitiervorschlag: § 76 GBO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https://recht.nulegal.eu/gesetze/GBO/76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