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71 GBO</w:t>
      </w:r>
    </w:p>
    <w:p>
      <w:r>
        <w:rPr>
          <w:color w:val="555555"/>
          <w:sz w:val="18"/>
        </w:rPr>
        <w:t xml:space="preserve">Grundbuchordnung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Gegen die Entscheidungen des Grundbuchamts findet das Rechtsmittel der Beschwerde statt.</w:t>
      </w:r>
    </w:p>
    <w:p>
      <w:r>
        <w:t xml:space="preserve">(2) Die Beschwerde gegen eine Eintragung ist unzulässig. Im Wege der Beschwerde kann jedoch verlangt werden, daß das Grundbuchamt angewiesen wird, nach § 53 einen Widerspruch einzutragen oder eine Löschung vorzunehmen.</w:t>
      </w:r>
    </w:p>
    <w:p>
      <w:r>
        <w:rPr>
          <w:color w:val="555555"/>
          <w:sz w:val="17"/>
        </w:rPr>
        <w:t xml:space="preserve">Zitiervorschlag: § 71 GBO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https://recht.nulegal.eu/gesetze/GBO/71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