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GBO</w:t>
      </w:r>
    </w:p>
    <w:p>
      <w:r>
        <w:rPr>
          <w:color w:val="555555"/>
          <w:sz w:val="18"/>
        </w:rPr>
        <w:t xml:space="preserve">Grundbuchordnung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Vorschriften der §§ 56 bis 69 sind auf den Grundschuldbrief und den Rentenschuldbrief entsprechend anzuwenden. Der Rentenschuldbrief muß auch die Ablösungssumme angeben.</w:t>
      </w:r>
    </w:p>
    <w:p>
      <w:r>
        <w:t xml:space="preserve">(2) Ist eine für den Inhaber des Briefes eingetragene Grundschuld oder Rentenschuld in Teile zerlegt, so ist über jeden Teil ein besonderer Brief herzustellen.</w:t>
      </w:r>
    </w:p>
    <w:p>
      <w:r>
        <w:rPr>
          <w:color w:val="555555"/>
          <w:sz w:val="17"/>
        </w:rPr>
        <w:t xml:space="preserve">Zitiervorschlag: § 70 GBO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https://recht.nulegal.eu/gesetze/GBO/70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