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6a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Antrag auf Eintragung eines Erbbaurechts an mehreren Grundstücken oder Erbbaurechten soll unbeschadet des Satzes 2 nur entsprochen werden, wenn hinsichtlich der zu belastenden Grundstücke die Voraussetzungen des § 5 Abs. 2 Satz 1 vorliegen. Von diesen Erfordernissen soll nur abgewichen werden, wenn die zu belastenden Grundstücke nahe beieinander liegen und entweder das Erbbaurecht in Wohnungs- oder Teilerbbaurechte aufgeteilt werden soll oder Gegenstand des Erbbaurechts ein einheitliches Bauwerk oder ein Bauwerk mit dazugehörenden Nebenanlagen auf den zu belastenden Grundstücken ist; § 5 Abs. 2 Satz 3 findet entsprechende Anwendung. Im übrigen sind die Voraussetzungen des Satzes 2 glaubhaft zu machen; § 29 gilt hierfür nicht.</w:t>
      </w:r>
    </w:p>
    <w:p>
      <w:r>
        <w:t xml:space="preserve">(2) Dem Antrag auf Eintragung eines Erbbaurechts soll nicht entsprochen werden, wenn das Erbbaurecht sowohl an einem Grundstück als auch an einem anderen Erbbaurecht bestellt werden soll.</w:t>
      </w:r>
    </w:p>
    <w:p>
      <w:r>
        <w:rPr>
          <w:color w:val="555555"/>
          <w:sz w:val="17"/>
        </w:rPr>
        <w:t xml:space="preserve">Zitiervorschlag: § 6a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https://recht.nulegal.eu/gesetze/GBO/6a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6a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