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GBO</w:t>
      </w:r>
    </w:p>
    <w:p>
      <w:r>
        <w:rPr>
          <w:color w:val="555555"/>
          <w:sz w:val="18"/>
        </w:rPr>
        <w:t xml:space="preserve">Grundbuchordnung</w:t>
      </w:r>
    </w:p>
    <w:p>
      <w:r>
        <w:rPr>
          <w:color w:val="555555"/>
          <w:sz w:val="18"/>
        </w:rPr>
        <w:t xml:space="preserve">Stand: 10.06.2019 (konsolidierte Textfassung, kein amtliches Inkrafttretensdatum)</w:t>
      </w:r>
    </w:p>
    <w:p>
      <w:r>
        <w:t xml:space="preserve">Wird eine Hypothek gelöscht, so ist der Brief unbrauchbar zu machen; das gleiche gilt, wenn die Erteilung des Briefes über eine Hypothek nachträglich ausgeschlossen oder an Stelle des bisherigen Briefes ein neuer Hypothekenbrief, ein Grundschuldbrief oder ein Rentenschuldbrief erteilt wird. Eine mit dem bisherigen Brief verbundene Schuldurkunde ist abzutrennen und, sofern sie nicht mit dem neuen Hypothekenbrief zu verbinden ist, zurückzugeben.</w:t>
      </w:r>
    </w:p>
    <w:p>
      <w:r>
        <w:rPr>
          <w:color w:val="555555"/>
          <w:sz w:val="17"/>
        </w:rPr>
        <w:t xml:space="preserve">Zitiervorschlag: § 69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