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68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neuer Brief erteilt, so hat er die Angabe zu enthalten, daß er an die Stelle des bisherigen Briefes tritt.</w:t>
      </w:r>
    </w:p>
    <w:p>
      <w:r>
        <w:t xml:space="preserve">(2) Vermerke, die nach den §§ 1140, 1145, 1157 des Bürgerlichen Gesetzbuchs für das Rechtsverhältnis zwischen dem Eigentümer und dem Gläubiger in Betracht kommen, sind auf den neuen Brief zu übertragen.</w:t>
      </w:r>
    </w:p>
    <w:p>
      <w:r>
        <w:t xml:space="preserve">(3) Die Erteilung des Briefes ist im Grundbuch zu vermerken.</w:t>
      </w:r>
    </w:p>
    <w:p>
      <w:r>
        <w:rPr>
          <w:color w:val="555555"/>
          <w:sz w:val="17"/>
        </w:rPr>
        <w:t xml:space="preserve">Zitiervorschlag: § 68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https://recht.nulegal.eu/gesetze/GBO/68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68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