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61 GBO</w:t>
      </w:r>
    </w:p>
    <w:p>
      <w:r>
        <w:rPr>
          <w:color w:val="555555"/>
          <w:sz w:val="18"/>
        </w:rPr>
        <w:t xml:space="preserve">Grundbuchordnung</w:t>
      </w:r>
    </w:p>
    <w:p>
      <w:r>
        <w:rPr>
          <w:color w:val="555555"/>
          <w:sz w:val="18"/>
        </w:rPr>
        <w:t xml:space="preserve">Stand: 10.06.2019 (konsolidierte Textfassung, kein amtliches Inkrafttretensdatum)</w:t>
      </w:r>
    </w:p>
    <w:p>
      <w:r>
        <w:t xml:space="preserve">(1) Ein Teilhypothekenbrief kann von dem Grundbuchamt oder einem Notar hergestellt werden.</w:t>
      </w:r>
    </w:p>
    <w:p>
      <w:r>
        <w:t xml:space="preserve">(2) Der Teilhypothekenbrief muß die Bezeichnung als Teilhypothekenbrief sowie eine beglaubigte Abschrift der im § 56 Abs. 1 Satz 2 vorgesehenen Angaben des bisherigen Briefes enthalten, den Teilbetrag der Hypothek, auf den er sich bezieht, bezeichnen sowie mit Unterschrift und Siegel oder Stempel versehen sein. Er soll außerdem eine beglaubigte Abschrift der sonstigen Angaben des bisherigen Briefes und der auf diesem befindlichen Vermerke enthalten. Eine mit dem bisherigen Brief verbundene Schuldurkunde soll in beglaubigter Abschrift mit dem Teilhypothekenbrief verbunden werden.</w:t>
      </w:r>
    </w:p>
    <w:p>
      <w:r>
        <w:t xml:space="preserve">(3) Wird der Teilhypothekenbrief vom Grundbuchamt hergestellt, so ist auf die Unterschrift § 56 Abs. 2 anzuwenden.</w:t>
      </w:r>
    </w:p>
    <w:p>
      <w:r>
        <w:t xml:space="preserve">(4) Die Herstellung des Teilhypothekenbriefes soll auf dem bisherigen Brief vermerkt werden.</w:t>
      </w:r>
    </w:p>
    <w:p>
      <w:r>
        <w:rPr>
          <w:color w:val="555555"/>
          <w:sz w:val="17"/>
        </w:rPr>
        <w:t xml:space="preserve">Zitiervorschlag: § 61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61 GBO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