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Hypothekenbrief ist dem Eigentümer des Grundstücks, im Falle der nachträglichen Erteilung dem Gläubiger auszuhändigen.</w:t>
      </w:r>
    </w:p>
    <w:p>
      <w:r>
        <w:t xml:space="preserve">(2) Auf eine abweichende Bestimmung des Eigentümers oder des Gläubigers ist die Vorschrift des § 29 Abs. 1 Satz 1 entsprechend anzuwenden.</w:t>
      </w:r>
    </w:p>
    <w:p>
      <w:r>
        <w:rPr>
          <w:color w:val="555555"/>
          <w:sz w:val="17"/>
        </w:rPr>
        <w:t xml:space="preserve">Zitiervorschlag: § 60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