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GBO</w:t>
      </w:r>
    </w:p>
    <w:p>
      <w:r>
        <w:rPr>
          <w:color w:val="555555"/>
          <w:sz w:val="18"/>
        </w:rPr>
        <w:t xml:space="preserve">Grundbuchordnung</w:t>
      </w:r>
    </w:p>
    <w:p>
      <w:r>
        <w:rPr>
          <w:color w:val="555555"/>
          <w:sz w:val="18"/>
        </w:rPr>
        <w:t xml:space="preserve">Stand: 10.06.2019 (konsolidierte Textfassung, kein amtliches Inkrafttretensdatum)</w:t>
      </w:r>
    </w:p>
    <w:p>
      <w:r>
        <w:t xml:space="preserve">(1) Über eine Gesamthypothek soll nur ein Hypothekenbrief erteilt werden. Er ist nur von einer für die Führung des Grundbuchs zuständigen Person und von einem Urkundsbeamten der Geschäftsstelle oder ermächtigten Justizangestellten (§ 56 Abs. 2) zu unterschreiben, auch wenn bezüglich der belasteten Grundstücke insoweit verschiedene Personen zuständig sind.</w:t>
      </w:r>
    </w:p>
    <w:p>
      <w:r>
        <w:t xml:space="preserve">(2) Werden die Grundbücher der belasteten Grundstücke von verschiedenen Grundbuchämtern geführt, so soll jedes Amt für die Grundstücke, deren Grundbuchblätter es führt, einen besonderen Brief erteilen; die Briefe sind miteinander zu verbinden.</w:t>
      </w:r>
    </w:p>
    <w:p>
      <w:r>
        <w:rPr>
          <w:color w:val="555555"/>
          <w:sz w:val="17"/>
        </w:rPr>
        <w:t xml:space="preserve">Zitiervorschlag: § 59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