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GBO</w:t>
      </w:r>
    </w:p>
    <w:p>
      <w:r>
        <w:rPr>
          <w:color w:val="555555"/>
          <w:sz w:val="18"/>
        </w:rPr>
        <w:t xml:space="preserve">Grundbuchordnung</w:t>
      </w:r>
    </w:p>
    <w:p>
      <w:r>
        <w:rPr>
          <w:color w:val="555555"/>
          <w:sz w:val="18"/>
        </w:rPr>
        <w:t xml:space="preserve">Stand: 10.06.2019 (konsolidierte Textfassung, kein amtliches Inkrafttretensdatum)</w:t>
      </w:r>
    </w:p>
    <w:p>
      <w:r>
        <w:t xml:space="preserve">(1) Enthält ein beim Grundbuchamt eingegangenes Schriftstück Anträge oder Ersuchen, für deren Erledigung neben dem angegangenen Grundbuchamt auch noch ein anderes Grundbuchamt zuständig ist oder mehrere andere Grundbuchämter zuständig sind, so kann jedes der beteiligten Grundbuchämter den anderen beteiligten Grundbuchämtern Abschriften seiner Verfügungen mitteilen.</w:t>
      </w:r>
    </w:p>
    <w:p>
      <w:r>
        <w:t xml:space="preserve">(2) Werden bei Gesamtrechten (§ 48) die Grundbücher bei verschiedenen Grundbuchämtern geführt, so sind die Eintragungen sowie die Verfügungen, durch die ein Antrag oder Ersuchen auf Eintragung zurückgewiesen wird, den anderen beteiligten Grundbuchämtern bekanntzugeben.</w:t>
      </w:r>
    </w:p>
    <w:p>
      <w:r>
        <w:rPr>
          <w:color w:val="555555"/>
          <w:sz w:val="17"/>
        </w:rPr>
        <w:t xml:space="preserve">Zitiervorschlag: § 55a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