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50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Eintragung einer Hypothek für Teilschuldverschreibungen auf den Inhaber genügt es, wenn der Gesamtbetrag der Hypothek unter Angabe der Anzahl, des Betrags und der Bezeichnung der Teile eingetragen wird.</w:t>
      </w:r>
    </w:p>
    <w:p>
      <w:r>
        <w:t xml:space="preserve">(2) Diese Vorschrift ist entsprechend anzuwenden, wenn eine Grundschuld oder eine Rentenschuld für den Inhaber des Briefes eingetragen und das Recht in Teile zerlegt werden soll.</w:t>
      </w:r>
    </w:p>
    <w:p>
      <w:r>
        <w:rPr>
          <w:color w:val="555555"/>
          <w:sz w:val="17"/>
        </w:rPr>
        <w:t xml:space="preserve">Zitiervorschlag: § 50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