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GBO</w:t>
      </w:r>
    </w:p>
    <w:p>
      <w:r>
        <w:rPr>
          <w:color w:val="555555"/>
          <w:sz w:val="18"/>
        </w:rPr>
        <w:t xml:space="preserve">Grundbuchordnung</w:t>
      </w:r>
    </w:p>
    <w:p>
      <w:r>
        <w:rPr>
          <w:color w:val="555555"/>
          <w:sz w:val="18"/>
        </w:rPr>
        <w:t xml:space="preserve">Stand: 10.06.2019 (konsolidierte Textfassung, kein amtliches Inkrafttretensdatum)</w:t>
      </w:r>
    </w:p>
    <w:p>
      <w:r>
        <w:t xml:space="preserve">(1) Ein Grundstück soll nur dann mit einem anderen Grundstück vereinigt werden, wenn hiervon Verwirrung nicht zu besorgen ist. Eine Vereinigung soll insbesondere dann unterbleiben, wenn die Grundstücke im Zeitpunkt der Vereinigung wie folgt belastet sind:</w:t>
      </w:r>
    </w:p>
    <w:p>
      <w:pPr>
        <w:ind w:left="420"/>
      </w:pPr>
      <w:r>
        <w:t xml:space="preserve">1. mit unterschiedlichen Grundpfandrechten oder Reallasten oder</w:t>
      </w:r>
    </w:p>
    <w:p>
      <w:pPr>
        <w:ind w:left="420"/>
      </w:pPr>
      <w:r>
        <w:t xml:space="preserve">2. mit denselben Grundpfandrechten oder Reallasten in unterschiedlicher Rangfolge.</w:t>
      </w:r>
    </w:p>
    <w:p>
      <w:r>
        <w:t xml:space="preserve">Werden die Grundbücher von verschiedenen Grundbuchämtern geführt, so ist das zuständige Grundbuchamt nach § 5 des Gesetzes über das Verfahren in Familiensachen und in den Angelegenheiten der freiwilligen Gerichtsbarkeit zu bestimmen.</w:t>
      </w:r>
    </w:p>
    <w:p>
      <w:r>
        <w:t xml:space="preserve">(2) Die an der Vereinigung beteiligten Grundstücke sollen im Bezirk desselben Grundbuchamts und derselben für die Führung des amtlichen Verzeichnisses nach § 2 Abs. 2 zuständigen Stelle liegen und unmittelbar aneinandergrenzen. Von diesen Erfordernissen soll nur abgewichen werden, wenn hierfür, insbesondere wegen der Zusammengehörigkeit baulicher Anlagen und Nebenanlagen, ein erhebliches Bedürfnis entsteht. Die Lage der Grundstücke zueinander kann durch Bezugnahme auf das amtliche Verzeichnis nachgewiesen werden. Das erhebliche Bedürfnis ist glaubhaft zu machen; § 29 gilt hierfür nicht.</w:t>
      </w:r>
    </w:p>
    <w:p>
      <w:r>
        <w:rPr>
          <w:color w:val="555555"/>
          <w:sz w:val="17"/>
        </w:rPr>
        <w:t xml:space="preserve">Zitiervorschlag: § 5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