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Löschung eines Rechtes oder einer Verfügungsbeschränkung erfolgt durch Eintragung eines Löschungsvermerks.</w:t>
      </w:r>
    </w:p>
    <w:p>
      <w:r>
        <w:t xml:space="preserve">(2) Wird bei der Übertragung eines Grundstücks oder eines Grundstücksteils auf ein anderes Blatt ein eingetragenes Recht nicht mitübertragen, so gilt es in Ansehung des Grundstücks oder des Teils als gelöscht.</w:t>
      </w:r>
    </w:p>
    <w:p>
      <w:r>
        <w:rPr>
          <w:color w:val="555555"/>
          <w:sz w:val="17"/>
        </w:rPr>
        <w:t xml:space="preserve">Zitiervorschlag: § 46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