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GBO</w:t>
      </w:r>
    </w:p>
    <w:p>
      <w:r>
        <w:rPr>
          <w:color w:val="555555"/>
          <w:sz w:val="18"/>
        </w:rPr>
        <w:t xml:space="preserve">Grundbuchordnung</w:t>
      </w:r>
    </w:p>
    <w:p>
      <w:r>
        <w:rPr>
          <w:color w:val="555555"/>
          <w:sz w:val="18"/>
        </w:rPr>
        <w:t xml:space="preserve">Stand: 10.06.2019 (konsolidierte Textfassung, kein amtliches Inkrafttretensdatum)</w:t>
      </w:r>
    </w:p>
    <w:p>
      <w:r>
        <w:t xml:space="preserve">Die Vorschriften des § 41 sind auf die Grundschuld und die Rentenschuld entsprechend anzuwenden. Ist jedoch das Recht für den Inhaber des Briefes eingetragen, so bedarf es der Vorlegung des Briefes nur dann nicht, wenn der Eintragungsantrag durch die Bewilligung eines nach § 1189 des Bürgerlichen Gesetzbuchs bestellten Vertreters oder durch eine gegen ihn erlassene gerichtliche Entscheidung begründet wird.</w:t>
      </w:r>
    </w:p>
    <w:p>
      <w:r>
        <w:rPr>
          <w:color w:val="555555"/>
          <w:sz w:val="17"/>
        </w:rPr>
        <w:t xml:space="preserve">Zitiervorschlag: § 42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