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GBO</w:t>
      </w:r>
    </w:p>
    <w:p>
      <w:r>
        <w:rPr>
          <w:color w:val="555555"/>
          <w:sz w:val="18"/>
        </w:rPr>
        <w:t xml:space="preserve">Grundbuchordnung</w:t>
      </w:r>
    </w:p>
    <w:p>
      <w:r>
        <w:rPr>
          <w:color w:val="555555"/>
          <w:sz w:val="18"/>
        </w:rPr>
        <w:t xml:space="preserve">Stand: 10.06.2019 (konsolidierte Textfassung, kein amtliches Inkrafttretensdatum)</w:t>
      </w:r>
    </w:p>
    <w:p>
      <w:r>
        <w:t xml:space="preserve">(1) Bei einer Hypothek, über die ein Brief erteilt ist, soll eine Eintragung nur erfolgen, wenn der Brief vorgelegt wird. Für die Eintragung eines Widerspruchs bedarf es der Vorlegung nicht, wenn die Eintragung durch eine einstweilige Verfügung angeordnet ist und der Widerspruch sich darauf gründet, daß die Hypothek oder die Forderung, für welche sie bestellt ist, nicht bestehe oder einer Einrede unterliege oder daß die Hypothek unrichtig eingetragen sei. Der Vorlegung des Briefes bedarf es nicht für die Eintragung einer Löschungsvormerkung nach § 1179 des Bürgerlichen Gesetzbuchs.</w:t>
      </w:r>
    </w:p>
    <w:p>
      <w:r>
        <w:t xml:space="preserve">(2) Der Vorlegung des Hypothekenbriefs steht es gleich, wenn in den Fällen der §§ 1162, 1170, 1171 des Bürgerlichen Gesetzbuchs auf Grund des Ausschließungsbeschlusses die Erteilung eines neuen Briefes beantragt wird. Soll die Erteilung des Briefes nachträglich ausgeschlossen oder die Hypothek gelöscht werden, so genügt die Vorlegung des Ausschlußurteils.</w:t>
      </w:r>
    </w:p>
    <w:p>
      <w:r>
        <w:rPr>
          <w:color w:val="555555"/>
          <w:sz w:val="17"/>
        </w:rPr>
        <w:t xml:space="preserve">Zitiervorschlag: § 41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