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GBO</w:t>
      </w:r>
    </w:p>
    <w:p>
      <w:r>
        <w:rPr>
          <w:color w:val="555555"/>
          <w:sz w:val="18"/>
        </w:rPr>
        <w:t xml:space="preserve">Grundbuchordnung</w:t>
      </w:r>
    </w:p>
    <w:p>
      <w:r>
        <w:rPr>
          <w:color w:val="555555"/>
          <w:sz w:val="18"/>
        </w:rPr>
        <w:t xml:space="preserve">Stand: 10.06.2019 (konsolidierte Textfassung, kein amtliches Inkrafttretensdatum)</w:t>
      </w:r>
    </w:p>
    <w:p>
      <w:r>
        <w:t xml:space="preserve">(1) Ist die Person, deren Recht durch eine Eintragung betroffen wird, Erbe des eingetragenen Berechtigten, so ist die Vorschrift des § 39 Abs. 1 nicht anzuwenden, wenn die Übertragung oder die Aufhebung des Rechts eingetragen werden soll oder wenn der Eintragungsantrag durch die Bewilligung des Erblassers oder eines Nachlaßpflegers oder durch einen gegen den Erblasser oder den Nachlaßpfleger vollstreckbaren Titel begründet wird.</w:t>
      </w:r>
    </w:p>
    <w:p>
      <w:r>
        <w:t xml:space="preserve">(2) Das gleiche gilt für eine Eintragung auf Grund der Bewilligung eines Testamentsvollstreckers oder auf Grund eines gegen diesen vollstreckbaren Titels, sofern die Bewilligung oder der Titel gegen den Erben wirksam ist.</w:t>
      </w:r>
    </w:p>
    <w:p>
      <w:r>
        <w:rPr>
          <w:color w:val="555555"/>
          <w:sz w:val="17"/>
        </w:rPr>
        <w:t xml:space="preserve">Zitiervorschlag: § 40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