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GBO</w:t>
      </w:r>
    </w:p>
    <w:p>
      <w:r>
        <w:rPr>
          <w:color w:val="555555"/>
          <w:sz w:val="18"/>
        </w:rPr>
        <w:t xml:space="preserve">Grundbuchordnung</w:t>
      </w:r>
    </w:p>
    <w:p>
      <w:r>
        <w:rPr>
          <w:color w:val="555555"/>
          <w:sz w:val="18"/>
        </w:rPr>
        <w:t xml:space="preserve">Stand: 10.06.2019 (konsolidierte Textfassung, kein amtliches Inkrafttretensdatum)</w:t>
      </w:r>
    </w:p>
    <w:p>
      <w:r>
        <w:t xml:space="preserve">(1) Soll bei einem zum Nachlass oder zu dem Gesamtgut einer Gütergemeinschaft gehörenden Grundstück oder Erbbaurecht einer der Beteiligten als Eigentümer oder Erbbauberechtigter eingetragen werden, so genügt zum Nachweis der Rechtsnachfolge und der zur Eintragung des Eigentumsübergangs erforderlichen Erklärungen der Beteiligten ein gerichtliches Zeugnis. Das Zeugnis erteilt</w:t>
      </w:r>
    </w:p>
    <w:p>
      <w:pPr>
        <w:ind w:left="420"/>
      </w:pPr>
      <w:r>
        <w:t xml:space="preserve">1. das Nachlassgericht, wenn das Grundstück oder das Erbbaurecht zu einem Nachlass gehört,</w:t>
      </w:r>
    </w:p>
    <w:p>
      <w:pPr>
        <w:ind w:left="420"/>
      </w:pPr>
      <w:r>
        <w:t xml:space="preserve">2. das nach § 343 des Gesetzes über das Verfahren in Familiensachen und in den Angelegenheiten der freiwilligen Gerichtsbarkeit zuständige Amtsgericht, wenn ein Anteil an dem Gesamtgut zu einem Nachlass gehört, und</w:t>
      </w:r>
    </w:p>
    <w:p>
      <w:pPr>
        <w:ind w:left="420"/>
      </w:pPr>
      <w:r>
        <w:t xml:space="preserve">3. im Übrigen das nach § 122 des Gesetzes über das Verfahren in Familiensachen und in den Angelegenheiten der freiwilligen Gerichtsbarkeit zuständige Amtsgericht.</w:t>
      </w:r>
    </w:p>
    <w:p>
      <w:r>
        <w:t xml:space="preserve">(2) Das Zeugnis darf nur ausgestellt werden, wenn:</w:t>
      </w:r>
    </w:p>
    <w:p>
      <w:pPr>
        <w:ind w:left="420"/>
      </w:pPr>
      <w:r>
        <w:t xml:space="preserve">a) die Voraussetzungen für die Erteilung eines Erbscheins vorliegen oder der Nachweis der Gütergemeinschaft durch öffentliche Urkunden erbracht ist und</w:t>
      </w:r>
    </w:p>
    <w:p>
      <w:pPr>
        <w:ind w:left="420"/>
      </w:pPr>
      <w:r>
        <w:t xml:space="preserve">b) die Abgabe der Erklärungen der Beteiligten in einer den Vorschriften der Grundbuchordnung entsprechenden Weise dem nach Absatz 1 Satz 2 zuständigen Gericht nachgewiesen ist.</w:t>
      </w:r>
    </w:p>
    <w:p>
      <w:r>
        <w:t xml:space="preserve">(2a) Ist ein Erbschein über das Erbrecht sämtlicher Erben oder ein Zeugnis über die Fortsetzung der Gütergemeinschaft erteilt, so ist auch der Notar, der die Auseinandersetzung vermittelt hat, für die Erteilung des Zeugnisses nach Absatz 1 Satz 1 zuständig.</w:t>
      </w:r>
    </w:p>
    <w:p>
      <w:r>
        <w:t xml:space="preserve">(3) Die Vorschriften über die Zuständigkeit zur Entgegennahme der Auflassung bleiben unberührt.</w:t>
      </w:r>
    </w:p>
    <w:p>
      <w:r>
        <w:rPr>
          <w:color w:val="555555"/>
          <w:sz w:val="17"/>
        </w:rPr>
        <w:t xml:space="preserve">Zitiervorschlag: § 36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https://recht.nulegal.eu/gesetze/GBO/36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