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30 GBO</w:t>
      </w:r>
    </w:p>
    <w:p>
      <w:r>
        <w:rPr>
          <w:color w:val="555555"/>
          <w:sz w:val="18"/>
        </w:rPr>
        <w:t xml:space="preserve">Grundbuchordnung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den Eintragungsantrag sowie für die Vollmacht zur Stellung eines solchen gelten die Vorschriften des § 29 nur, wenn durch den Antrag zugleich eine zu der Eintragung erforderliche Erklärung ersetzt werden soll.</w:t>
      </w:r>
    </w:p>
    <w:p>
      <w:r>
        <w:rPr>
          <w:color w:val="555555"/>
          <w:sz w:val="17"/>
        </w:rPr>
        <w:t xml:space="preserve">Zitiervorschlag: § 30 GBO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https://recht.nulegal.eu/gesetze/GBO/30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30 GBO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