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29a GBO</w:t>
      </w:r>
    </w:p>
    <w:p>
      <w:r>
        <w:rPr>
          <w:color w:val="555555"/>
          <w:sz w:val="18"/>
        </w:rPr>
        <w:t xml:space="preserve">Grundbuchordnung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Voraussetzungen des § 1179 Nr. 2 des Bürgerlichen Gesetzbuchs sind glaubhaft zu machen; § 29 gilt hierfür nicht.</w:t>
      </w:r>
    </w:p>
    <w:p>
      <w:r>
        <w:rPr>
          <w:color w:val="555555"/>
          <w:sz w:val="17"/>
        </w:rPr>
        <w:t xml:space="preserve">Zitiervorschlag: § 29a GBO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https://recht.nulegal.eu/gesetze/GBO/29a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