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GBO</w:t>
      </w:r>
    </w:p>
    <w:p>
      <w:r>
        <w:rPr>
          <w:color w:val="555555"/>
          <w:sz w:val="18"/>
        </w:rPr>
        <w:t xml:space="preserve">Grundbuchordnung</w:t>
      </w:r>
    </w:p>
    <w:p>
      <w:r>
        <w:rPr>
          <w:color w:val="555555"/>
          <w:sz w:val="18"/>
        </w:rPr>
        <w:t xml:space="preserve">Stand: 10.06.2019 (konsolidierte Textfassung, kein amtliches Inkrafttretensdatum)</w:t>
      </w:r>
    </w:p>
    <w:p>
      <w:r>
        <w:t xml:space="preserve">In der Eintragungsbewilligung oder, wenn eine solche nicht erforderlich ist, in dem Eintragungsantrag ist das Grundstück übereinstimmend mit dem Grundbuch oder durch Hinweis auf das Grundbuchblatt zu bezeichnen. Einzutragende Geldbeträge sind in inländischer Währung anzugeben; durch Rechtsverordnung des Bundesministeriums der Justiz und für Verbraucherschutz im Einvernehmen mit dem Bundesministerium der Finanzen kann die Angabe in einer einheitlichen europäischen Währung, in der Währung eines Mitgliedstaats der Europäischen Union oder des Europäischen Wirtschaftsraums oder einer anderen Währung, gegen die währungspolitische Bedenken nicht zu erheben sind, zugelassen und, wenn gegen die Fortdauer dieser Zulassung währungspolitische Bedenken bestehen, wieder eingeschränkt werden.</w:t>
      </w:r>
    </w:p>
    <w:p>
      <w:r>
        <w:rPr>
          <w:color w:val="555555"/>
          <w:sz w:val="17"/>
        </w:rPr>
        <w:t xml:space="preserve">Zitiervorschlag: § 28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