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GBO</w:t>
      </w:r>
    </w:p>
    <w:p>
      <w:r>
        <w:rPr>
          <w:color w:val="555555"/>
          <w:sz w:val="18"/>
        </w:rPr>
        <w:t xml:space="preserve">Grundbuchordnung</w:t>
      </w:r>
    </w:p>
    <w:p>
      <w:r>
        <w:rPr>
          <w:color w:val="555555"/>
          <w:sz w:val="18"/>
        </w:rPr>
        <w:t xml:space="preserve">Stand: 10.06.2019 (konsolidierte Textfassung, kein amtliches Inkrafttretensdatum)</w:t>
      </w:r>
    </w:p>
    <w:p>
      <w:r>
        <w:t xml:space="preserve">(1) Ein Recht, das auf die Lebenszeit des Berechtigten beschränkt ist, darf nach dessen Tod, falls Rückstände von Leistungen nicht ausgeschlossen sind, nur mit Bewilligung des Rechtsnachfolgers gelöscht werden, wenn die Löschung vor dem Ablauf eines Jahres nach dem Tod des Berechtigten erfolgen soll oder wenn der Rechtsnachfolger der Löschung bei dem Grundbuchamt widersprochen hat; der Widerspruch ist von Amts wegen in das Grundbuch einzutragen. Ist der Berechtigte für tot erklärt, so beginnt die einjährige Frist mit dem Erlaß des die Todeserklärung aussprechenden Urteils.</w:t>
      </w:r>
    </w:p>
    <w:p>
      <w:r>
        <w:t xml:space="preserve">(2) Der im Absatz 1 vorgesehenen Bewilligung des Rechtsnachfolgers bedarf es nicht, wenn im Grundbuch eingetragen ist, daß zur Löschung des Rechtes der Nachweis des Todes des Berechtigten genügen soll.</w:t>
      </w:r>
    </w:p>
    <w:p>
      <w:r>
        <w:rPr>
          <w:color w:val="555555"/>
          <w:sz w:val="17"/>
        </w:rPr>
        <w:t xml:space="preserve">Zitiervorschlag: § 23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