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150 GBO</w:t>
      </w:r>
    </w:p>
    <w:p>
      <w:r>
        <w:rPr>
          <w:color w:val="555555"/>
          <w:sz w:val="18"/>
        </w:rPr>
        <w:t xml:space="preserve">Grundbuchordnung</w:t>
      </w:r>
    </w:p>
    <w:p>
      <w:r>
        <w:rPr>
          <w:color w:val="555555"/>
          <w:sz w:val="18"/>
        </w:rPr>
        <w:t xml:space="preserve">Stand: 13.04.2025 (konsolidierte Textfassung, kein amtliches Inkrafttretensdatum)</w:t>
      </w:r>
    </w:p>
    <w:p>
      <w:r>
        <w:t xml:space="preserve">(1) In dem in Artikel 3 des Einigungsvertrages genannten Gebiet gilt dieses Gesetz mit folgenden Maßgaben:</w:t>
      </w:r>
    </w:p>
    <w:p>
      <w:pPr>
        <w:ind w:left="420"/>
      </w:pPr>
      <w:r>
        <w:t xml:space="preserve">1. Die Grundbücher können abweichend von § 1 bis zum Ablauf des 31. Dezember 1994 von den bis zum 2. Oktober 1990 zuständigen oder später durch Landesrecht bestimmten Stellen (Grundbuchämter) geführt werden. Die Zuständigkeit der Bediensteten des Grundbuchamts richtet sich nach den für diese Stellen am Tag vor dem Wirksamwerden des Beitritts bestehenden oder in dem jeweiligen Lande erlassenen späteren Bestimmungen. Diese sind auch für die Zahl der erforderlichen Unterschriften und dafür maßgebend, inwieweit Eintragungen beim Grundstücksbestand zu unterschreiben sind. Vorschriften nach den Sätzen 2 und 3 können auch dann beibehalten, geändert oder ergänzt werden, wenn die Grundbücher wieder von den Amtsgerichten geführt werden. Sind vor dem 19. Oktober 1994 in Grundbüchern, die in dem in Artikel 3 des Einigungsvertrages genannten Gebiet geführt werden, Eintragungen vorgenommen worden, die nicht den Vorschriften des § 44 Abs. 1 entsprechen, so sind diese Eintragungen dennoch wirksam, wenn sie den Anforderungen der für die Führung des Grundbuchs von dem jeweiligen Land erlassenen Vorschriften genügen.</w:t>
      </w:r>
    </w:p>
    <w:p>
      <w:pPr>
        <w:ind w:left="420"/>
      </w:pPr>
      <w:r>
        <w:t xml:space="preserve">2. Amtliches Verzeichnis der Grundstücke im Sinne des § 2 ist das am Tag vor dem Wirksamwerden des Beitritts zur Bezeichnung der Grundstücke maßgebende oder das an seine Stelle tretende Verzeichnis.</w:t>
      </w:r>
    </w:p>
    <w:p>
      <w:pPr>
        <w:ind w:left="420"/>
      </w:pPr>
      <w:r>
        <w:t xml:space="preserve">3. Die Grundbücher, die nach den am Tag vor dem Wirksamwerden des Beitritts bestehenden Bestimmungen geführt werden, gelten als Grundbücher im Sinne der Grundbuchordnung.</w:t>
      </w:r>
    </w:p>
    <w:p>
      <w:pPr>
        <w:ind w:left="420"/>
      </w:pPr>
      <w:r>
        <w:t xml:space="preserve">4. Soweit nach den am Tag vor dem Wirksamwerden des Beitritts geltenden Vorschriften Gebäudegrundbuchblätter anzulegen und zu führen sind, sind diese Vorschriften weiter anzuwenden. Dies gilt auch für die Kenntlichmachung der Anlegung des Gebäudegrundbuchblatts im Grundbuch des Grundstücks. Den Antrag auf Anlegung des Gebäudegrundbuchblatts kann auch der Gebäudeeigentümer stellen. Dies gilt entsprechend für nach später erlassenen Vorschriften anzulegende Gebäudegrundbuchblätter. Bei Eintragungen oder Berichtigungen im Gebäudegrundbuch ist in den Fällen des Artikels 233 § 4 des Einführungsgesetzes zum Bürgerlichen Gesetzbuche das Vorhandensein des Gebäudes nicht zu prüfen.</w:t>
      </w:r>
    </w:p>
    <w:p>
      <w:pPr>
        <w:ind w:left="420"/>
      </w:pPr>
      <w:r>
        <w:t xml:space="preserve">5. Neben diesem Gesetz sind die Vorschriften der §§ 2 bis 85 des Gesetzes über das Verfahren in Familiensachen und in den Angelegenheiten der freiwilligen Gerichtsbarkeit entsprechend anwendbar, soweit sich nicht etwas anderes aus Rechtsvorschriften, insbesondere aus den Vorschriften des Grundbuchrechts, oder daraus ergibt, daß die Grundbücher nicht von Gerichten geführt werden.</w:t>
      </w:r>
    </w:p>
    <w:p>
      <w:pPr>
        <w:ind w:left="420"/>
      </w:pPr>
      <w:r>
        <w:t xml:space="preserve">6. Anträge auf Eintragung in das Grundbuch, die vor dem Wirksamwerden des Beitritts beim Grundbuchamt eingegangen sind, sind von diesem nach den am Tag vor dem Wirksamwerden des Beitritts geltenden Verfahrensvorschriften zu erledigen.</w:t>
      </w:r>
    </w:p>
    <w:p>
      <w:pPr>
        <w:ind w:left="420"/>
      </w:pPr>
      <w:r>
        <w:t xml:space="preserve">7. Im übrigen gelten die in Anlage I Kapitel III Sachgebiet A Abschnitt III unter Nr. 28 des Einigungsvertrages aufgeführten allgemeinen Maßgaben entsprechend. Am Tag des Wirksamwerdens des Beitritts anhängige Beschwerdeverfahren sind an das zur Entscheidung über die Beschwerde nunmehr zuständige Gericht abzugeben.</w:t>
      </w:r>
    </w:p>
    <w:p>
      <w:r>
        <w:t xml:space="preserve">(2) Am 1. Januar 1995 treten nach Absatz 1 Nr. 1 Satz 1 fortgeltende oder von den Ländern erlassene Vorschriften, nach denen die Grundbücher von anderen als den in § 1 bezeichneten Stellen geführt werden, außer Kraft. Die in § 1 bezeichneten Stellen bleiben auch nach diesem Zeitpunkt verpflichtet, allgemeine Anweisungen für die beschleunigte Behandlung von Grundbuchsachen anzuwenden. Die Landesregierungen werden ermächtigt, durch Rechtsverordnung einen früheren Tag für das Außerkrafttreten dieser Vorschriften zu bestimmen. In den Fällen der Sätze 1 und 3 kann durch Rechtsverordnung der Landesregierung auch bestimmt werden, daß Grundbuchsachen in einem Teil des Grundbuchbezirks von einer hierfür eingerichteten Zweigstelle des Amtsgerichts (§ 1) bearbeitet werden, wenn dies nach den örtlichen Verhältnissen zur sachdienlichen Erledigung zweckmäßig erscheint, und, unbeschadet des § 176 Abs. 2 des Bundesberggesetzes im übrigen, welche Stelle nach Aufhebung der in Satz 1 bezeichneten Vorschriften die Berggrundbücher führt. Die Landesregierung kann ihre Ermächtigung nach dieser Vorschrift durch Rechtsverordnung auf die Landesjustizverwaltung übertragen.</w:t>
      </w:r>
    </w:p>
    <w:p>
      <w:r>
        <w:t xml:space="preserve">(3) Soweit die Grundbücher von Behörden der Verwaltung oder Justizverwaltung geführt werden, ist gegen eine Entscheidung des Grundbuchamts (Absatz 1 Nr. 1 Satz 1), auch soweit sie nicht ausdrücklich im Auftrag des Leiters des Grundbuchamts ergangen ist oder ergeht, die Beschwerde nach § 71 der Grundbuchordnung gegeben. Diese Regelung gilt mit Wirkung vom 3. Oktober 1990, soweit Verfahren noch nicht rechtskräftig abgeschlossen sind. Anderweitig anhängige Verfahren über Rechtsmittel gegen Entscheidungen der Grundbuchämter gehen in dem Stand, in dem sie sich bei Inkrafttreten dieser Vorschrift befinden, auf das Beschwerdegericht über. Satz 1 tritt mit dem in Absatz 2 Satz 1 oder Satz 3 bezeichneten Zeitpunkt außer Kraft.</w:t>
      </w:r>
    </w:p>
    <w:p>
      <w:r>
        <w:t xml:space="preserve">(4) In den Grundbuchämtern in dem in Artikel 3 des Einigungsvertrages genannten Gebiet können bis zum Ablauf des 31. Dezember 1999 auch Personen mit der Vornahme von Amtshandlungen betraut werden, die diesen Ämtern auf Grund von Dienstleistungsverträgen auf Dauer oder vorübergehend zugeteilt werden. Der Zeitpunkt kann durch Rechtsverordnung des Bundesministeriums der Justiz und für Verbraucherschutz mit Zustimmung des Bundesrates verlängert werden.</w:t>
      </w:r>
    </w:p>
    <w:p>
      <w:r>
        <w:t xml:space="preserve">(5) Das Bundesministerium der Justiz und für Verbraucherschutz wird ermächtigt, durch Rechtsverordnung mit Zustimmung des Bundesrates nähere Vorschriften zu erlassen über den Nachweis der Befugnis, über</w:t>
      </w:r>
    </w:p>
    <w:p>
      <w:pPr>
        <w:ind w:left="420"/>
      </w:pPr>
      <w:r>
        <w:t xml:space="preserve">1. beschränkte dingliche Rechte an einem Grundstück, Gebäude oder sonstigen grundstücksgleichen Rechten,</w:t>
      </w:r>
    </w:p>
    <w:p>
      <w:pPr>
        <w:ind w:left="420"/>
      </w:pPr>
      <w:r>
        <w:t xml:space="preserve">2. Vormerkungen oder</w:t>
      </w:r>
    </w:p>
    <w:p>
      <w:pPr>
        <w:ind w:left="420"/>
      </w:pPr>
      <w:r>
        <w:t xml:space="preserve">3. sonstige im Grundbuch eingetragene Lasten und Beschränkungen</w:t>
      </w:r>
    </w:p>
    <w:p>
      <w:r>
        <w:t xml:space="preserve">zu verfügen, deren Eintragung vor dem 1. Juli 1990 in dem in Artikel 3 des Einigungsvertrages genannten Gebiet beantragt worden ist. Dabei kann bestimmt werden, dass § 39 nicht anzuwenden ist und dass es der Vorlage eines Hypotheken-, Grundschuld- oder Rentenschuldbriefes nicht bedarf.</w:t>
      </w:r>
    </w:p>
    <w:p>
      <w:r>
        <w:t xml:space="preserve">(6) § 134a tritt am 31. Dezember 2029 außer Kraft.</w:t>
      </w:r>
    </w:p>
    <w:p>
      <w:r>
        <w:rPr>
          <w:color w:val="555555"/>
          <w:sz w:val="17"/>
        </w:rPr>
        <w:t xml:space="preserve">Zitiervorschlag: § 150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https://recht.nulegal.eu/gesetze/GBO/150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