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148 GBO</w:t>
      </w:r>
    </w:p>
    <w:p>
      <w:r>
        <w:rPr>
          <w:color w:val="555555"/>
          <w:sz w:val="18"/>
        </w:rPr>
        <w:t xml:space="preserve">Grundbuchordnung</w:t>
      </w:r>
    </w:p>
    <w:p>
      <w:r>
        <w:rPr>
          <w:color w:val="555555"/>
          <w:sz w:val="18"/>
        </w:rPr>
        <w:t xml:space="preserve">Stand: 10.06.2019 (konsolidierte Textfassung, kein amtliches Inkrafttretensdatum)</w:t>
      </w:r>
    </w:p>
    <w:p>
      <w:r>
        <w:t xml:space="preserve">(1) Das Bundesministerium der Justiz und für Verbraucherschutz wird ermächtigt, durch Rechtsverordnung mit Zustimmung des Bundesrates das Verfahren zum Zwecke der Wiederherstellung eines ganz oder teilweise zerstörten oder abhandengekommenen Grundbuchs sowie das Verfahren zum Zwecke der Wiederbeschaffung zerstörter oder abhandengekommener Urkunden der in § 10 Absatz 1 bezeichneten Art zu bestimmen. Es kann dabei auch darüber bestimmen, in welcher Weise die zu einer Rechtsänderung erforderliche Eintragung bis zur Wiederherstellung des Grundbuchs ersetzt werden soll.</w:t>
      </w:r>
    </w:p>
    <w:p>
      <w:r>
        <w:t xml:space="preserve">(2) Ist die Vornahme von Eintragungen in das maschinell geführte Grundbuch (§ 126) vorübergehend nicht möglich, so können auf Anordnung der Leitung des Grundbuchamts Eintragungen in einem Ersatzgrundbuch in Papierform vorgenommen werden, sofern hiervon Verwirrung nicht zu besorgen ist. Sie sollen in das maschinell geführte Grundbuch übernommen werden, sobald dies wieder möglich ist. Für die Eintragungen nach Satz 1 gilt § 44; in den Fällen des Satzes 2 gilt § 128 entsprechend. Die Landesregierungen werden ermächtigt, die Einzelheiten des Verfahrens durch Rechtsverordnung zu regeln; sie können diese Ermächtigung auf die Landesjustizverwaltungen durch Rechtsverordnung übertragen.</w:t>
      </w:r>
    </w:p>
    <w:p>
      <w:r>
        <w:t xml:space="preserve">(3) Ist die Übernahme elektronischer Dokumente in die elektronische Grundakte vorübergehend nicht möglich, kann die Leitung des Grundbuchamts anordnen, dass von den Dokumenten ein Ausdruck für die Akte zu fertigen ist. Sie sollen in die elektronische Grundakte übernommen werden, sobald dies wieder möglich ist. § 138 Absatz 3 Satz 2 gilt entsprechend.</w:t>
      </w:r>
    </w:p>
    <w:p>
      <w:r>
        <w:t xml:space="preserve">(4) Die Landesregierungen können durch Rechtsverordnung bestimmen, dass</w:t>
      </w:r>
    </w:p>
    <w:p>
      <w:pPr>
        <w:ind w:left="420"/>
      </w:pPr>
      <w:r>
        <w:t xml:space="preserve">1. das bis dahin maschinell geführte Grundbuch wieder in Papierform geführt wird,</w:t>
      </w:r>
    </w:p>
    <w:p>
      <w:pPr>
        <w:ind w:left="420"/>
      </w:pPr>
      <w:r>
        <w:t xml:space="preserve">2. der elektronische Rechtsverkehr eingestellt wird oder</w:t>
      </w:r>
    </w:p>
    <w:p>
      <w:pPr>
        <w:ind w:left="420"/>
      </w:pPr>
      <w:r>
        <w:t xml:space="preserve">3. die bis dahin elektronisch geführten Grundakten wieder in Papierform geführt werden.</w:t>
      </w:r>
    </w:p>
    <w:p>
      <w:r>
        <w:t xml:space="preserve">Die Rechtsverordnung soll nur erlassen werden, wenn die Voraussetzungen des § 126, auch in Verbindung mit § 135 Absatz 4 Satz 1, nicht nur vorübergehend entfallen sind und in absehbarer Zeit nicht wiederhergestellt werden können. Satz 2 gilt nicht, soweit durch Rechtsverordnung nach § 135 Absatz 1 und 2 bestimmt wurde, dass der elektronische Rechtsverkehr und die elektronische Führung der Grundakten lediglich befristet zu Erprobungszwecken zugelassen oder angeordnet wurden. § 44 gilt sinngemäß. Die Wiederanordnung der maschinellen Grundbuchführung nach dem Siebenten Abschnitt sowie die Wiedereinführung des elektronischen Rechtsverkehrs und die Wiederanordnung der elektronischen Führung der Grundakte nach dem Achten Abschnitt bleiben unberührt.</w:t>
      </w:r>
    </w:p>
    <w:p>
      <w:r>
        <w:rPr>
          <w:color w:val="555555"/>
          <w:sz w:val="17"/>
        </w:rPr>
        <w:t xml:space="preserve">Zitiervorschlag: § 148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148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