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143 GBO</w:t>
      </w:r>
    </w:p>
    <w:p>
      <w:r>
        <w:rPr>
          <w:color w:val="555555"/>
          <w:sz w:val="18"/>
        </w:rPr>
        <w:t xml:space="preserve">Grundbuchordnung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im Einführungsgesetz zum Bürgerlichen Gesetzbuche zugunsten der Landesgesetze Vorbehalte gemacht sind, gelten sie auch für die Vorschriften der Landesgesetze über das Grundbuchwesen; jedoch sind die §§ 12a und 13 Abs. 3, § 44 Abs. 1 Satz 2 und 3, § 56 Abs. 2, § 59 Abs. 1 Satz 2, § 61 Abs. 3 und § 62 Abs. 2 auch in diesen Fällen anzuwenden.</w:t>
      </w:r>
    </w:p>
    <w:p>
      <w:r>
        <w:t xml:space="preserve">(2) Absatz 1 zweiter Halbsatz gilt auch für die grundbuchmäßige Behandlung von Bergbauberechtigungen.</w:t>
      </w:r>
    </w:p>
    <w:p>
      <w:r>
        <w:t xml:space="preserve">(3) Vereinigungen und Zuschreibungen zwischen Grundstücken und Rechten, für die nach Landesrecht die Vorschriften über Grundstücke gelten, sollen nicht vorgenommen werden.</w:t>
      </w:r>
    </w:p>
    <w:p>
      <w:r>
        <w:t xml:space="preserve">(4) § 15 Absatz 3 gilt nicht, soweit die zu einer Eintragung erforderlichen Erklärungen von einer gemäß § 68 des Beurkundungsgesetzes nach Landesrecht zuständigen Person oder Stelle öffentlich beglaubigt worden sind.</w:t>
      </w:r>
    </w:p>
    <w:p>
      <w:r>
        <w:rPr>
          <w:color w:val="555555"/>
          <w:sz w:val="17"/>
        </w:rPr>
        <w:t xml:space="preserve">Zitiervorschlag: § 143 GBO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https://recht.nulegal.eu/gesetze/GBO/143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143 GBO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