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142 GBO</w:t>
      </w:r>
    </w:p>
    <w:p>
      <w:r>
        <w:rPr>
          <w:color w:val="555555"/>
          <w:sz w:val="18"/>
        </w:rPr>
        <w:t xml:space="preserve">Grundbuchordnung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(Inkrafttreten)</w:t>
      </w:r>
    </w:p>
    <w:p>
      <w:r>
        <w:t xml:space="preserve">(2) Die Artikel 1 Abs. 2, Artikel 2, 50, 55 des Einführungsgesetzes zum Bürgerlichen Gesetzbuche sind entsprechend anzuwenden.</w:t>
      </w:r>
    </w:p>
    <w:p>
      <w:r>
        <w:rPr>
          <w:color w:val="555555"/>
          <w:sz w:val="17"/>
        </w:rPr>
        <w:t xml:space="preserve">Zitiervorschlag: § 142 GBO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https://recht.nulegal.eu/gesetze/GBO/142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142 GBO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