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GBO</w:t>
      </w:r>
    </w:p>
    <w:p>
      <w:r>
        <w:rPr>
          <w:color w:val="555555"/>
          <w:sz w:val="18"/>
        </w:rPr>
        <w:t xml:space="preserve">Grundbuchordnung</w:t>
      </w:r>
    </w:p>
    <w:p>
      <w:r>
        <w:rPr>
          <w:color w:val="555555"/>
          <w:sz w:val="18"/>
        </w:rPr>
        <w:t xml:space="preserve">Stand: 10.06.2019 (konsolidierte Textfassung, kein amtliches Inkrafttretensdatum)</w:t>
      </w:r>
    </w:p>
    <w:p>
      <w:r>
        <w:t xml:space="preserve">Das Bundesministerium der Justiz und für Verbraucherschutz wird ermächtigt, durch Rechtsverordnung mit Zustimmung des Bundesrates nähere Vorschriften zu erlassen über</w:t>
      </w:r>
    </w:p>
    <w:p>
      <w:pPr>
        <w:ind w:left="420"/>
      </w:pPr>
      <w:r>
        <w:t xml:space="preserve">1. die Einzelheiten der Anforderungen an die Einrichtung und das Nähere zur Gestaltung des maschinell geführten Grundbuchs sowie die Abweichungen von den Vorschriften des Ersten bis Sechsten Abschnitts der Grundbuchordnung, die für die maschinelle Führung des Grundbuchs erforderlich sind;</w:t>
      </w:r>
    </w:p>
    <w:p>
      <w:pPr>
        <w:ind w:left="420"/>
      </w:pPr>
      <w:r>
        <w:t xml:space="preserve">2. die Einzelheiten der Gewährung von Einsicht in maschinell geführte Grundbücher;</w:t>
      </w:r>
    </w:p>
    <w:p>
      <w:pPr>
        <w:ind w:left="420"/>
      </w:pPr>
      <w:r>
        <w:t xml:space="preserve">3. die Einzelheiten der Einrichtung automatisierter Verfahren zur Übermittlung von Daten aus dem Grundbuch auch durch Abruf und der Genehmigung hierfür.</w:t>
      </w:r>
    </w:p>
    <w:p>
      <w:r>
        <w:t xml:space="preserve">Das Bundesministerium der Justiz und für Verbraucherschutz kann im Rahmen seiner Ermächtigung nach Satz 1 die Regelung weiterer Einzelheiten durch Rechtsverordnung den Landesregierungen übertragen und hierbei auch vorsehen, daß diese ihre Ermächtigung durch Rechtsverordnung auf die Landesjustizverwaltungen übertragen können.</w:t>
      </w:r>
    </w:p>
    <w:p>
      <w:r>
        <w:rPr>
          <w:color w:val="555555"/>
          <w:sz w:val="17"/>
        </w:rPr>
        <w:t xml:space="preserve">Zitiervorschlag: § 134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