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GBO</w:t>
      </w:r>
    </w:p>
    <w:p>
      <w:r>
        <w:rPr>
          <w:color w:val="555555"/>
          <w:sz w:val="18"/>
        </w:rPr>
        <w:t xml:space="preserve">Grundbuchordnung</w:t>
      </w:r>
    </w:p>
    <w:p>
      <w:r>
        <w:rPr>
          <w:color w:val="555555"/>
          <w:sz w:val="18"/>
        </w:rPr>
        <w:t xml:space="preserve">Stand: 10.06.2019 (konsolidierte Textfassung, kein amtliches Inkrafttretensdatum)</w:t>
      </w:r>
    </w:p>
    <w:p>
      <w:r>
        <w:t xml:space="preserve">§ 44 Abs. 1 Satz 1, 2 Halbsatz 2 und Satz 3 ist für die maschinelle Grundbuchführung nicht anzuwenden; § 44 Abs. 1 Satz 2 erster Halbsatz gilt mit der Maßgabe, daß die für die Führung des Grundbuchs zuständige Person auch die Eintragung veranlassen kann. Wird die Eintragung nicht besonders verfügt, so ist in geeigneter Weise der Veranlasser der Speicherung aktenkundig oder sonst feststellbar zu machen.</w:t>
      </w:r>
    </w:p>
    <w:p>
      <w:r>
        <w:rPr>
          <w:color w:val="555555"/>
          <w:sz w:val="17"/>
        </w:rPr>
        <w:t xml:space="preserve">Zitiervorschlag: § 130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