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GBO</w:t>
      </w:r>
    </w:p>
    <w:p>
      <w:r>
        <w:rPr>
          <w:color w:val="555555"/>
          <w:sz w:val="18"/>
        </w:rPr>
        <w:t xml:space="preserve">Grundbuchordnung</w:t>
      </w:r>
    </w:p>
    <w:p>
      <w:r>
        <w:rPr>
          <w:color w:val="555555"/>
          <w:sz w:val="18"/>
        </w:rPr>
        <w:t xml:space="preserve">Stand: 28.12.2022 (konsolidierte Textfassung, kein amtliches Inkrafttretensdatum)</w:t>
      </w:r>
    </w:p>
    <w:p>
      <w:r>
        <w:t xml:space="preserve">(1) Eine Eintragung soll, soweit nicht das Gesetz etwas anderes vorschreibt, nur auf Antrag erfolgen. Antragsberechtigt ist jeder, dessen Recht von der Eintragung betroffen wird oder zu dessen Gunsten die Eintragung erfolgen soll. In den Fällen des § 20 soll die Eintragung nur erfolgen, wenn ein Notar den Antrag im Namen eines Antragsberechtigten eingereicht hat.</w:t>
      </w:r>
    </w:p>
    <w:p>
      <w:r>
        <w:t xml:space="preserve">(2) Der genaue Zeitpunkt, in dem ein Antrag beim Grundbuchamt eingeht, soll auf dem Antrag vermerkt werden. Der Antrag ist beim Grundbuchamt eingegangen, wenn er einer zur Entgegennahme zuständigen Person vorgelegt ist. Wird er zur Niederschrift einer solchen Person gestellt, so ist er mit Abschluß der Niederschrift eingegangen.</w:t>
      </w:r>
    </w:p>
    <w:p>
      <w:r>
        <w:t xml:space="preserve">(3) Für die Entgegennahme eines auf eine Eintragung gerichteten Antrags oder Ersuchens und die Beurkundung des Zeitpunkts, in welchem der Antrag oder das Ersuchen beim Grundbuchamt eingeht, sind nur die für die Führung des Grundbuchs über das betroffene Grundstück zuständige Person und der von der Leitung des Amtsgerichts für das ganze Grundbuchamt oder einzelne Abteilungen hierzu bestellte Beamte (Angestellte) der Geschäftsstelle zuständig. Bezieht sich der Antrag oder das Ersuchen auf mehrere Grundstücke in verschiedenen Geschäftsbereichen desselben Grundbuchamts, so ist jeder zuständig, der nach Satz 1 in Betracht kommt.</w:t>
      </w:r>
    </w:p>
    <w:p>
      <w:r>
        <w:rPr>
          <w:color w:val="555555"/>
          <w:sz w:val="17"/>
        </w:rPr>
        <w:t xml:space="preserve">Zitiervorschlag: § 13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