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128 GBO</w:t>
      </w:r>
    </w:p>
    <w:p>
      <w:r>
        <w:rPr>
          <w:color w:val="555555"/>
          <w:sz w:val="18"/>
        </w:rPr>
        <w:t xml:space="preserve">Grundbuchordnung</w:t>
      </w:r>
    </w:p>
    <w:p>
      <w:r>
        <w:rPr>
          <w:color w:val="555555"/>
          <w:sz w:val="18"/>
        </w:rPr>
        <w:t xml:space="preserve">Stand: 10.06.2019 (konsolidierte Textfassung, kein amtliches Inkrafttretensdatum)</w:t>
      </w:r>
    </w:p>
    <w:p>
      <w:r>
        <w:t xml:space="preserve">(1) Das maschinell geführte Grundbuch tritt für ein Grundbuchblatt an die Stelle des bisherigen Grundbuchs, sobald es freigegeben worden ist. Die Freigabe soll erfolgen, sobald die Eintragungen dieses Grundbuchblattes in den für die Grundbucheintragungen bestimmten Datenspeicher aufgenommen worden sind.</w:t>
      </w:r>
    </w:p>
    <w:p>
      <w:r>
        <w:t xml:space="preserve">(2) Der Schließungsvermerk im bisherigen Grundbuch ist lediglich von einer der nach § 44 Abs. 1 Satz 2 zur Unterschrift zuständigen Personen zu unterschreiben.</w:t>
      </w:r>
    </w:p>
    <w:p>
      <w:r>
        <w:t xml:space="preserve">(3) Die bisherigen Grundbücher können ausgesondert werden, soweit die Anlegung des maschinell geführten Grundbuchs in der Weise erfolgt ist, dass der gesamte Inhalt der bisherigen Grundbuchblätter in den für das maschinell geführte Grundbuch bestimmten Datenspeicher aufgenommen wurde und die Wiedergabe auf dem Bildschirm bildlich mit den bisherigen Grundbuchblättern übereinstimmt.</w:t>
      </w:r>
    </w:p>
    <w:p>
      <w:r>
        <w:rPr>
          <w:color w:val="555555"/>
          <w:sz w:val="17"/>
        </w:rPr>
        <w:t xml:space="preserve">Zitiervorschlag: § 128 GBO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https://recht.nulegal.eu/gesetze/GBO/128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