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GBO</w:t>
      </w:r>
    </w:p>
    <w:p>
      <w:r>
        <w:rPr>
          <w:color w:val="555555"/>
          <w:sz w:val="18"/>
        </w:rPr>
        <w:t xml:space="preserve">Grundbuchordnung</w:t>
      </w:r>
    </w:p>
    <w:p>
      <w:r>
        <w:rPr>
          <w:color w:val="555555"/>
          <w:sz w:val="18"/>
        </w:rPr>
        <w:t xml:space="preserve">Stand: 10.12.2019 (konsolidierte Textfassung, kein amtliches Inkrafttretensdatum)</w:t>
      </w:r>
    </w:p>
    <w:p>
      <w:r>
        <w:t xml:space="preserve">(1) Die Landesregierungen können durch Rechtsverordnung bestimmen, daß und in welchem Umfang das Grundbuch in maschineller Form als automatisiertes Dateisystem geführt wird; sie können dabei auch bestimmen, dass das Grundbuch in strukturierter Form mit logischer Verknüpfung der Inhalte (Datenbankgrundbuch) geführt wird. Hierbei muß gewährleistet sein, daß</w:t>
      </w:r>
    </w:p>
    <w:p>
      <w:pPr>
        <w:ind w:left="420"/>
      </w:pPr>
      <w:r>
        <w:t xml:space="preserve">1. die Grundsätze einer ordnungsgemäßen Datenverarbeitung eingehalten, insbesondere Vorkehrungen gegen einen Datenverlust getroffen sowie die erforderlichen Kopien der Datenbestände mindestens tagesaktuell gehalten und die originären Datenbestände sowie deren Kopien sicher aufbewahrt werden;</w:t>
      </w:r>
    </w:p>
    <w:p>
      <w:pPr>
        <w:ind w:left="420"/>
      </w:pPr>
      <w:r>
        <w:t xml:space="preserve">2. die vorzunehmenden Eintragungen alsbald in einen Datenspeicher aufgenommen und auf Dauer inhaltlich unverändert in lesbarer Form wiedergegeben werden können;</w:t>
      </w:r>
    </w:p>
    <w:p>
      <w:pPr>
        <w:ind w:left="420"/>
      </w:pPr>
      <w:r>
        <w:t xml:space="preserve">3. die nach den Artikeln 24, 25 und 32 der Verordnung (EU) 2016/679 erforderlichen Anforderungen erfüllt sind.</w:t>
      </w:r>
    </w:p>
    <w:p>
      <w:r>
        <w:t xml:space="preserve">Die Landesregierungen können durch Rechtsverordnung die Ermächtigung nach Satz 1 auf die Landesjustizverwaltungen übertragen.</w:t>
      </w:r>
    </w:p>
    <w:p>
      <w:r>
        <w:t xml:space="preserve">(2) Die Führung des Grundbuchs in maschineller Form umfaßt auch die Einrichtung und Führung eines Verzeichnisses der Eigentümer und der Grundstücke sowie weitere, für die Führung des Grundbuchs in maschineller Form erforderliche Verzeichnisse. Das Grundbuchamt kann für die Führung des Grundbuchs auch Verzeichnisse der in Satz 1 bezeichneten Art nutzen, die bei den für die Führung des Liegenschaftskatasters zuständigen Stellen eingerichtet sind; diese dürfen die in Satz 1 bezeichneten Verzeichnisse insoweit nutzen, als dies für die Führung des Liegenschaftskatasters erforderlich ist.</w:t>
      </w:r>
    </w:p>
    <w:p>
      <w:r>
        <w:t xml:space="preserve">(3) Die Datenverarbeitung kann im Auftrag des nach § 1 zuständigen Grundbuchamts auf den Anlagen einer anderen staatlichen Stelle oder auf den Anlagen einer juristischen Person des öffentlichen Rechts vorgenommen werden, wenn die ordnungsgemäße Erledigung der Grundbuchsachen sichergestellt ist.</w:t>
      </w:r>
    </w:p>
    <w:p>
      <w:r>
        <w:rPr>
          <w:color w:val="555555"/>
          <w:sz w:val="17"/>
        </w:rPr>
        <w:t xml:space="preserve">Zitiervorschlag: § 126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