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Eigentümer ist in das Grundbuch einzutragen:</w:t>
      </w:r>
    </w:p>
    <w:p>
      <w:pPr>
        <w:ind w:left="420"/>
      </w:pPr>
      <w:r>
        <w:t xml:space="preserve">1. der ermittelte Eigentümer;</w:t>
      </w:r>
    </w:p>
    <w:p>
      <w:pPr>
        <w:ind w:left="420"/>
      </w:pPr>
      <w:r>
        <w:t xml:space="preserve">2. sonst der Eigenbesitzer, dessen Eigentum dem Grundbuchamt glaubhaft gemacht ist;</w:t>
      </w:r>
    </w:p>
    <w:p>
      <w:pPr>
        <w:ind w:left="420"/>
      </w:pPr>
      <w:r>
        <w:t xml:space="preserve">3. sonst derjenige, dessen Eigentum nach Lage der Sache dem Grundbuchamt am wahrscheinlichsten erscheint.</w:t>
      </w:r>
    </w:p>
    <w:p>
      <w:r>
        <w:rPr>
          <w:color w:val="555555"/>
          <w:sz w:val="17"/>
        </w:rPr>
        <w:t xml:space="preserve">Zitiervorschlag: § 123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