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122 GBO</w:t>
      </w:r>
    </w:p>
    <w:p>
      <w:r>
        <w:rPr>
          <w:color w:val="555555"/>
          <w:sz w:val="18"/>
        </w:rPr>
        <w:t xml:space="preserve">Grundbuchordnung</w:t>
      </w:r>
    </w:p>
    <w:p>
      <w:r>
        <w:rPr>
          <w:color w:val="555555"/>
          <w:sz w:val="18"/>
        </w:rPr>
        <w:t xml:space="preserve">Stand: 10.06.2019 (konsolidierte Textfassung, kein amtliches Inkrafttretensdatum)</w:t>
      </w:r>
    </w:p>
    <w:p>
      <w:r>
        <w:t xml:space="preserve">Das Grundbuchblatt darf, wenn ein Aufgebotsverfahren (§§ 120, 121) nicht stattgefunden hat, erst angelegt werden, nachdem in der Gemeinde, in deren Bezirk das Grundstück liegt, das Bevorstehen der Anlegung und der Name des als Eigentümer Einzutragenden öffentlich bekanntgemacht und seit der Bekanntmachung ein Monat verstrichen ist; die Art der Bekanntmachung bestimmt das Grundbuchamt.</w:t>
      </w:r>
    </w:p>
    <w:p>
      <w:r>
        <w:rPr>
          <w:color w:val="555555"/>
          <w:sz w:val="17"/>
        </w:rPr>
        <w:t xml:space="preserve">Zitiervorschlag: § 122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https://recht.nulegal.eu/gesetze/GBO/122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122 GBO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