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121 GBO</w:t>
      </w:r>
    </w:p>
    <w:p>
      <w:r>
        <w:rPr>
          <w:color w:val="555555"/>
          <w:sz w:val="18"/>
        </w:rPr>
        <w:t xml:space="preserve">Grundbuchordnung</w:t>
      </w:r>
    </w:p>
    <w:p>
      <w:r>
        <w:rPr>
          <w:color w:val="555555"/>
          <w:sz w:val="18"/>
        </w:rPr>
        <w:t xml:space="preserve">Stand: 10.06.2019 (konsolidierte Textfassung, kein amtliches Inkrafttretensdatum)</w:t>
      </w:r>
    </w:p>
    <w:p>
      <w:r>
        <w:t xml:space="preserve">(1) Das Aufgebot ist an die für den Aushang von Bekanntmachungen des Grundbuchamts bestimmte Stelle anzuheften und einmal in dem für die amtlichen Bekanntmachungen des Grundbuchamts bestimmten Blatte zu veröffentlichen. Das Grundbuchamt kann anordnen, daß die Veröffentlichung mehrere Male und noch in anderen Blättern zu erfolgen habe oder, falls das Grundstück einen Wert von weniger als 3.000 Euro hat, daß sie ganz unterbleibe.</w:t>
      </w:r>
    </w:p>
    <w:p>
      <w:r>
        <w:t xml:space="preserve">(2) Das Aufgebot ist in der Gemeinde, in deren Bezirk das Grundstück liegt, an der für amtliche Bekanntmachungen bestimmten Stelle anzuheften oder in sonstiger ortsüblicher Weise bekanntzumachen. Dies gilt nicht, wenn in der Gemeinde eine Anheftung von amtlichen Bekanntmachungen nicht vorgesehen ist und eine sonstige ortsübliche Bekanntmachung lediglich zu einer zusätzlichen Veröffentlichung in einem der in Absatz 1 bezeichneten Blätter führen würde.</w:t>
      </w:r>
    </w:p>
    <w:p>
      <w:r>
        <w:t xml:space="preserve">(3) Das Aufgebot soll den Personen, die das Eigentum in Anspruch nehmen und dem Grundbuchamt bekannt sind, von Amts wegen zugestellt werden.</w:t>
      </w:r>
    </w:p>
    <w:p>
      <w:r>
        <w:rPr>
          <w:color w:val="555555"/>
          <w:sz w:val="17"/>
        </w:rPr>
        <w:t xml:space="preserve">Zitiervorschlag: § 121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https://recht.nulegal.eu/gesetze/GBO/121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121 GBO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