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116 GBO</w:t>
      </w:r>
    </w:p>
    <w:p>
      <w:r>
        <w:rPr>
          <w:color w:val="555555"/>
          <w:sz w:val="18"/>
        </w:rPr>
        <w:t xml:space="preserve">Grundbuchordnung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ein Grundstück, das ein Grundbuchblatt bei der Anlegung des Grundbuchs nicht erhalten hat, wird das Blatt unbeschadet des § 3 Abs. 2 bis 9 von Amts wegen angelegt.</w:t>
      </w:r>
    </w:p>
    <w:p>
      <w:r>
        <w:t xml:space="preserve">(2) Das Verfahren bei der Anlegung des Grundbuchblatts richtet sich nach den Vorschriften der §§ 118 bis 125.</w:t>
      </w:r>
    </w:p>
    <w:p>
      <w:r>
        <w:rPr>
          <w:color w:val="555555"/>
          <w:sz w:val="17"/>
        </w:rPr>
        <w:t xml:space="preserve">Zitiervorschlag: § 116 GBO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https://recht.nulegal.eu/gesetze/GBO/116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