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 GBO</w:t>
      </w:r>
    </w:p>
    <w:p>
      <w:r>
        <w:rPr>
          <w:color w:val="555555"/>
          <w:sz w:val="18"/>
        </w:rPr>
        <w:t xml:space="preserve">Grundbuchordnung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die neue Rangordnung rechtskräftig festgestellt, so hat das Grundbuchamt das Grundbuch nach Maßgabe dieser Rangordnung umzuschreiben.</w:t>
      </w:r>
    </w:p>
    <w:p>
      <w:r>
        <w:rPr>
          <w:color w:val="555555"/>
          <w:sz w:val="17"/>
        </w:rPr>
        <w:t xml:space="preserve">Zitiervorschlag: § 111 GBO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https://recht.nulegal.eu/gesetze/GBO/111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