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105 GBO</w:t>
      </w:r>
    </w:p>
    <w:p>
      <w:r>
        <w:rPr>
          <w:color w:val="555555"/>
          <w:sz w:val="18"/>
        </w:rPr>
        <w:t xml:space="preserve">Grundbuchordnung</w:t>
      </w:r>
    </w:p>
    <w:p>
      <w:r>
        <w:rPr>
          <w:color w:val="555555"/>
          <w:sz w:val="18"/>
        </w:rPr>
        <w:t xml:space="preserve">Stand: 10.06.2019 (konsolidierte Textfassung, kein amtliches Inkrafttretensdatum)</w:t>
      </w:r>
    </w:p>
    <w:p>
      <w:r>
        <w:t xml:space="preserve">(1) Einem Beteiligten, der ohne sein Verschulden verhindert war, die Frist (§ 104) einzuhalten, hat das Grundbuchamt auf seinen Antrag Wiedereinsetzung in den vorigen Stand zu gewähren, wenn er binnen zwei Wochen nach der Beseitigung des Hindernisses den Widerspruch einlegt und die Tatsachen, die die Wiedereinsetzung begründen, glaubhaft macht.</w:t>
      </w:r>
    </w:p>
    <w:p>
      <w:r>
        <w:t xml:space="preserve">(2) Die Entscheidung, durch die Wiedereinsetzung erteilt wird, ist unanfechtbar; gegen die Entscheidung, durch die der Antrag auf Wiedereinsetzung als unzulässig verworfen oder zurückgewiesen wird, ist die Beschwerde nach den Vorschriften des Gesetzes über das Verfahren in Familiensachen und in den Angelegenheiten der freiwilligen Gerichtsbarkeit zulässig.</w:t>
      </w:r>
    </w:p>
    <w:p>
      <w:r>
        <w:t xml:space="preserve">(3) Die Wiedereinsetzung kann nicht mehr beantragt werden, nachdem die neue Rangordnung eingetragen oder wenn seit dem Ende der versäumten Frist ein Jahr verstrichen ist.</w:t>
      </w:r>
    </w:p>
    <w:p>
      <w:r>
        <w:rPr>
          <w:color w:val="555555"/>
          <w:sz w:val="17"/>
        </w:rPr>
        <w:t xml:space="preserve">Zitiervorschlag: § 105 GBO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https://recht.nulegal.eu/gesetze/GBO/105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